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896250">
      <w:pPr>
        <w:rPr>
          <w:rFonts w:ascii="黑体" w:hAnsi="黑体" w:eastAsia="黑体"/>
          <w:color w:val="auto"/>
          <w:sz w:val="32"/>
          <w:szCs w:val="32"/>
          <w:highlight w:val="none"/>
        </w:rPr>
      </w:pPr>
      <w:bookmarkStart w:id="0" w:name="_GoBack"/>
      <w:bookmarkEnd w:id="0"/>
      <w:r>
        <w:rPr>
          <w:rFonts w:ascii="黑体" w:hAnsi="黑体" w:eastAsia="黑体"/>
          <w:color w:val="auto"/>
          <w:sz w:val="32"/>
          <w:szCs w:val="32"/>
          <w:highlight w:val="none"/>
        </w:rPr>
        <w:t>附件1</w:t>
      </w:r>
    </w:p>
    <w:p w14:paraId="02DABFC5">
      <w:pPr>
        <w:shd w:val="clear"/>
        <w:spacing w:line="460" w:lineRule="exact"/>
        <w:jc w:val="center"/>
        <w:rPr>
          <w:rFonts w:hint="eastAsia" w:asciiTheme="minorEastAsia" w:hAnsiTheme="minorEastAsia"/>
          <w:b/>
          <w:color w:val="auto"/>
          <w:sz w:val="32"/>
          <w:szCs w:val="32"/>
          <w:highlight w:val="none"/>
        </w:rPr>
      </w:pPr>
    </w:p>
    <w:p w14:paraId="29E8B962">
      <w:pPr>
        <w:shd w:val="clear"/>
        <w:spacing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武汉商学院202</w:t>
      </w:r>
      <w:r>
        <w:rPr>
          <w:rFonts w:hint="eastAsia" w:ascii="宋体" w:hAnsi="宋体" w:eastAsia="宋体" w:cs="宋体"/>
          <w:b/>
          <w:color w:val="auto"/>
          <w:sz w:val="44"/>
          <w:szCs w:val="44"/>
          <w:highlight w:val="none"/>
          <w:lang w:val="en-US" w:eastAsia="zh-CN"/>
        </w:rPr>
        <w:t>5</w:t>
      </w:r>
      <w:r>
        <w:rPr>
          <w:rFonts w:hint="eastAsia" w:ascii="宋体" w:hAnsi="宋体" w:eastAsia="宋体" w:cs="宋体"/>
          <w:b/>
          <w:color w:val="auto"/>
          <w:sz w:val="44"/>
          <w:szCs w:val="44"/>
          <w:highlight w:val="none"/>
        </w:rPr>
        <w:t>年普通专升本招生专业对</w:t>
      </w:r>
    </w:p>
    <w:p w14:paraId="42922A49">
      <w:pPr>
        <w:shd w:val="clear"/>
        <w:spacing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高职（专科）专业的报考范围要求</w:t>
      </w:r>
    </w:p>
    <w:tbl>
      <w:tblPr>
        <w:tblStyle w:val="7"/>
        <w:tblpPr w:leftFromText="180" w:rightFromText="180" w:vertAnchor="text" w:horzAnchor="page" w:tblpX="1576" w:tblpY="424"/>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3"/>
        <w:gridCol w:w="7367"/>
      </w:tblGrid>
      <w:tr w14:paraId="62A87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934" w:type="pct"/>
            <w:vAlign w:val="center"/>
          </w:tcPr>
          <w:p w14:paraId="60062457">
            <w:pPr>
              <w:keepNext w:val="0"/>
              <w:keepLines w:val="0"/>
              <w:pageBreakBefore w:val="0"/>
              <w:shd w:val="clear"/>
              <w:kinsoku/>
              <w:wordWrap/>
              <w:overflowPunct/>
              <w:topLinePunct w:val="0"/>
              <w:autoSpaceDE/>
              <w:autoSpaceDN/>
              <w:bidi w:val="0"/>
              <w:adjustRightInd/>
              <w:snapToGrid/>
              <w:spacing w:line="4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招生本科专业</w:t>
            </w:r>
          </w:p>
        </w:tc>
        <w:tc>
          <w:tcPr>
            <w:tcW w:w="4065" w:type="pct"/>
            <w:vAlign w:val="center"/>
          </w:tcPr>
          <w:p w14:paraId="39BD42FB">
            <w:pPr>
              <w:keepNext w:val="0"/>
              <w:keepLines w:val="0"/>
              <w:pageBreakBefore w:val="0"/>
              <w:shd w:val="clear"/>
              <w:kinsoku/>
              <w:wordWrap/>
              <w:overflowPunct/>
              <w:topLinePunct w:val="0"/>
              <w:autoSpaceDE/>
              <w:autoSpaceDN/>
              <w:bidi w:val="0"/>
              <w:adjustRightInd/>
              <w:snapToGrid/>
              <w:spacing w:line="4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对应招收高职高专专业</w:t>
            </w:r>
          </w:p>
        </w:tc>
      </w:tr>
      <w:tr w14:paraId="5D1D6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515B2D8E">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休闲体育</w:t>
            </w:r>
          </w:p>
        </w:tc>
        <w:tc>
          <w:tcPr>
            <w:tcW w:w="4065" w:type="pct"/>
            <w:vAlign w:val="center"/>
          </w:tcPr>
          <w:p w14:paraId="127C1BB8">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4"/>
                <w:highlight w:val="none"/>
              </w:rPr>
              <w:t>社会体育、运动训练、休闲体育、民族传统体育、体育运营与管理、健身指导与管理、电子竞技运动与管理、冰雪设施运维与管理等体育类相关专业及教育类的体育教育专业</w:t>
            </w:r>
          </w:p>
        </w:tc>
      </w:tr>
      <w:tr w14:paraId="268D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5F486DD6">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建筑环境与能源应用工程</w:t>
            </w:r>
          </w:p>
        </w:tc>
        <w:tc>
          <w:tcPr>
            <w:tcW w:w="4065" w:type="pct"/>
            <w:vAlign w:val="center"/>
          </w:tcPr>
          <w:p w14:paraId="2D0C2861">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制冷与空调技术、供热通风与空调工程技术、</w:t>
            </w:r>
            <w:r>
              <w:rPr>
                <w:rFonts w:hint="eastAsia" w:ascii="仿宋_GB2312" w:hAnsi="仿宋_GB2312" w:eastAsia="仿宋_GB2312" w:cs="仿宋_GB2312"/>
                <w:color w:val="auto"/>
                <w:kern w:val="0"/>
                <w:sz w:val="24"/>
                <w:szCs w:val="24"/>
                <w:highlight w:val="none"/>
                <w:lang w:eastAsia="zh-CN" w:bidi="ar"/>
              </w:rPr>
              <w:t>现代</w:t>
            </w:r>
            <w:r>
              <w:rPr>
                <w:rFonts w:hint="eastAsia" w:ascii="仿宋_GB2312" w:hAnsi="仿宋_GB2312" w:eastAsia="仿宋_GB2312" w:cs="仿宋_GB2312"/>
                <w:color w:val="auto"/>
                <w:kern w:val="0"/>
                <w:sz w:val="24"/>
                <w:szCs w:val="24"/>
                <w:highlight w:val="none"/>
                <w:lang w:bidi="ar"/>
              </w:rPr>
              <w:t>物业管理、建筑设备工程技术、建筑工程技术、冷链物流技术与管理、发电厂及电力系统、工程造价、</w:t>
            </w:r>
            <w:r>
              <w:rPr>
                <w:rFonts w:hint="eastAsia" w:ascii="仿宋_GB2312" w:hAnsi="仿宋_GB2312" w:eastAsia="仿宋_GB2312" w:cs="仿宋_GB2312"/>
                <w:color w:val="auto"/>
                <w:kern w:val="0"/>
                <w:sz w:val="24"/>
                <w:szCs w:val="24"/>
                <w:highlight w:val="none"/>
              </w:rPr>
              <w:t>建设工程管理</w:t>
            </w:r>
            <w:r>
              <w:rPr>
                <w:rFonts w:hint="eastAsia" w:ascii="仿宋_GB2312" w:hAnsi="仿宋_GB2312" w:eastAsia="仿宋_GB2312" w:cs="仿宋_GB2312"/>
                <w:color w:val="auto"/>
                <w:kern w:val="0"/>
                <w:sz w:val="24"/>
                <w:szCs w:val="24"/>
                <w:highlight w:val="none"/>
                <w:lang w:bidi="ar"/>
              </w:rPr>
              <w:t>、工业节能技术、建筑电气工程技术、城市燃气工程技术、管道工程技术、智能建造技术、</w:t>
            </w:r>
            <w:r>
              <w:rPr>
                <w:rFonts w:hint="eastAsia" w:ascii="仿宋_GB2312" w:hAnsi="仿宋_GB2312" w:eastAsia="仿宋_GB2312" w:cs="仿宋_GB2312"/>
                <w:color w:val="auto"/>
                <w:kern w:val="0"/>
                <w:sz w:val="24"/>
                <w:szCs w:val="24"/>
                <w:highlight w:val="none"/>
              </w:rPr>
              <w:t>汽车制造与试验技术</w:t>
            </w:r>
            <w:r>
              <w:rPr>
                <w:rFonts w:hint="eastAsia" w:ascii="仿宋_GB2312" w:hAnsi="仿宋_GB2312" w:eastAsia="仿宋_GB2312" w:cs="仿宋_GB2312"/>
                <w:color w:val="auto"/>
                <w:kern w:val="0"/>
                <w:sz w:val="24"/>
                <w:szCs w:val="24"/>
                <w:highlight w:val="none"/>
                <w:lang w:bidi="ar"/>
              </w:rPr>
              <w:t>（备注：仅限于以上专业报考）</w:t>
            </w:r>
          </w:p>
        </w:tc>
      </w:tr>
      <w:tr w14:paraId="53051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1C8D6017">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食品质量与安全</w:t>
            </w:r>
          </w:p>
        </w:tc>
        <w:tc>
          <w:tcPr>
            <w:tcW w:w="4065" w:type="pct"/>
            <w:vAlign w:val="center"/>
          </w:tcPr>
          <w:p w14:paraId="4A89CECD">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食品智能加工技术、食品质量与安全、食品营养与健康、食品检验检测技术、酿酒技术、食品贮运与营销、食品药品监督管理、保健食品质量与管理、粮食工程技术与管理、粮食储运与质量安全、餐饮智能管理、烹饪工艺与营养、中西面点工艺、西式烹饪工艺、营养配餐、食用菌生产与加工技术、农产品加工与质量检测、绿色食品生产技术、农产品流通与管理、食品生物技术、绿色生物制造技术、生物信息技术（备注：仅限于以上专业报考）</w:t>
            </w:r>
          </w:p>
        </w:tc>
      </w:tr>
      <w:tr w14:paraId="1089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21C4F996">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烹饪与营养教育</w:t>
            </w:r>
          </w:p>
        </w:tc>
        <w:tc>
          <w:tcPr>
            <w:tcW w:w="4065" w:type="pct"/>
            <w:vAlign w:val="center"/>
          </w:tcPr>
          <w:p w14:paraId="442C3A92">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烹饪工艺与营养、中西面点工艺、西式烹饪工艺、营养配餐、餐饮智能管理、食品智能加工技术、食品检验检测技术、食品营养与健康、保健食品质量与管理、健康管理、医学营养、中医养生保健、药膳与食疗、绿色食品生产技术、食用菌生产与加工技术、食品质量与安全、酿酒技术、食品贮运与营销、农产品加工与质量检测、农产品流通与管理、粮食工程技术与管理、粮食储运与质量安全（备注：仅限于以上专业报考）</w:t>
            </w:r>
          </w:p>
        </w:tc>
      </w:tr>
      <w:tr w14:paraId="636F7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934" w:type="pct"/>
            <w:vAlign w:val="center"/>
          </w:tcPr>
          <w:p w14:paraId="468A8773">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零售业管理</w:t>
            </w:r>
          </w:p>
        </w:tc>
        <w:tc>
          <w:tcPr>
            <w:tcW w:w="4065" w:type="pct"/>
            <w:vAlign w:val="center"/>
          </w:tcPr>
          <w:p w14:paraId="61026100">
            <w:pPr>
              <w:keepNext w:val="0"/>
              <w:keepLines w:val="0"/>
              <w:pageBreakBefore w:val="0"/>
              <w:shd w:val="clear"/>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市场营销、连锁经营与管理、商务管理、工商企业管理、中小企业创业与经营、全媒体广告策划与营销、国际经济与贸易、</w:t>
            </w:r>
            <w:r>
              <w:rPr>
                <w:rFonts w:hint="eastAsia" w:ascii="仿宋_GB2312" w:hAnsi="仿宋_GB2312" w:eastAsia="仿宋_GB2312" w:cs="仿宋_GB2312"/>
                <w:color w:val="auto"/>
                <w:kern w:val="0"/>
                <w:sz w:val="24"/>
                <w:szCs w:val="24"/>
                <w:highlight w:val="none"/>
                <w:lang w:val="en-US" w:eastAsia="zh-CN"/>
              </w:rPr>
              <w:t>国际商务、</w:t>
            </w:r>
            <w:r>
              <w:rPr>
                <w:rFonts w:hint="eastAsia" w:ascii="仿宋_GB2312" w:hAnsi="仿宋_GB2312" w:eastAsia="仿宋_GB2312" w:cs="仿宋_GB2312"/>
                <w:color w:val="auto"/>
                <w:kern w:val="0"/>
                <w:sz w:val="24"/>
                <w:szCs w:val="24"/>
                <w:highlight w:val="none"/>
              </w:rPr>
              <w:t>网络营销与直播电商、移动商务、电子商务、跨境电子商务、供应链运营（备注：仅限于以上专业报考）</w:t>
            </w:r>
          </w:p>
        </w:tc>
      </w:tr>
      <w:tr w14:paraId="5CC64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76B78137">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酒店管理</w:t>
            </w:r>
          </w:p>
        </w:tc>
        <w:tc>
          <w:tcPr>
            <w:tcW w:w="4065" w:type="pct"/>
            <w:vAlign w:val="center"/>
          </w:tcPr>
          <w:p w14:paraId="5E348CC5">
            <w:pPr>
              <w:keepNext w:val="0"/>
              <w:keepLines w:val="0"/>
              <w:pageBreakBefore w:val="0"/>
              <w:shd w:val="clear"/>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酒店管理与数字化运营、民宿管理与运营、旅游管理、导游、旅行社经营与管理、定制旅行管理与服务、研学旅行管理与服务、葡萄酒文化与营销、茶艺与茶文化、智慧景区开发与管理、智慧旅游技术应用、会展策划与管理、休闲服务与管理、餐饮智能管理、烹饪工艺与营养、中西面点工艺、西式烹饪工艺、营养配餐、文化创意与策划、文化产业经营与管理、公共文化服务与管理、旅游英语、旅游日语、人力资源管理、公共事务管理、工商企业管理、连锁经营与管理、商务管理、市场营销、空中乘务、机场运行服务与管理、国际邮轮乘务管理、食品营养与健康、森林生态旅游与康养、国际经济与贸易（备注：仅限于以上专业报考）</w:t>
            </w:r>
          </w:p>
        </w:tc>
      </w:tr>
      <w:tr w14:paraId="40C9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295AD0ED">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会展经济与管理</w:t>
            </w:r>
          </w:p>
        </w:tc>
        <w:tc>
          <w:tcPr>
            <w:tcW w:w="4065" w:type="pct"/>
            <w:vAlign w:val="center"/>
          </w:tcPr>
          <w:p w14:paraId="4A8B86FC">
            <w:pPr>
              <w:keepNext w:val="0"/>
              <w:keepLines w:val="0"/>
              <w:pageBreakBefore w:val="0"/>
              <w:shd w:val="clear"/>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会展策划与管理、旅游管理、酒店管理与数字化运营、休闲服务与管理、商务管理、市场营销、电子商务、跨境电子商务、移动商务、网络营销与直播电商、农村电子商务、商务数据分析与应用、国际经济与贸易、国际商务、展示艺术设计、文化创意与策划、文化产业经营与管理、公共文化服务与管理、传播与策划、全媒体广告策划与营销、婚庆服务与管理（备注：仅限于以上专业报考）</w:t>
            </w:r>
          </w:p>
        </w:tc>
      </w:tr>
      <w:tr w14:paraId="40BBC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34" w:type="pct"/>
            <w:vAlign w:val="center"/>
          </w:tcPr>
          <w:p w14:paraId="6286F5A0">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旅游管理与服务教育</w:t>
            </w:r>
          </w:p>
        </w:tc>
        <w:tc>
          <w:tcPr>
            <w:tcW w:w="4065" w:type="pct"/>
            <w:vAlign w:val="center"/>
          </w:tcPr>
          <w:p w14:paraId="508F5F82">
            <w:pPr>
              <w:keepNext w:val="0"/>
              <w:keepLines w:val="0"/>
              <w:pageBreakBefore w:val="0"/>
              <w:shd w:val="clear"/>
              <w:kinsoku/>
              <w:wordWrap/>
              <w:overflowPunct/>
              <w:topLinePunct w:val="0"/>
              <w:autoSpaceDE/>
              <w:autoSpaceDN/>
              <w:bidi w:val="0"/>
              <w:adjustRightInd/>
              <w:snapToGrid/>
              <w:spacing w:line="440" w:lineRule="exact"/>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旅游管理、导游、旅行社经营与管理、定制旅行管理与服务、研学旅行管理与服务、酒店管理与数字化运营、民宿管理与运营、葡萄酒文化与营销、茶艺与茶文化、智慧景区开发与管理、智慧旅游技术应用、会展策划与管理、休闲服务与管理、旅游英语、旅游日语、学前教育、小学教育、小学科学教育、森林生态旅游与康养、国际邮轮乘务管理、空中乘务（备注：仅限于以上专业报考）</w:t>
            </w:r>
          </w:p>
        </w:tc>
      </w:tr>
      <w:tr w14:paraId="634F1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34" w:type="pct"/>
            <w:vAlign w:val="center"/>
          </w:tcPr>
          <w:p w14:paraId="27020C42">
            <w:pPr>
              <w:keepNext w:val="0"/>
              <w:keepLines w:val="0"/>
              <w:pageBreakBefore w:val="0"/>
              <w:widowControl/>
              <w:shd w:val="clear"/>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lang w:bidi="ar"/>
              </w:rPr>
              <w:t>数字媒体艺术</w:t>
            </w:r>
          </w:p>
        </w:tc>
        <w:tc>
          <w:tcPr>
            <w:tcW w:w="4065" w:type="pct"/>
            <w:vAlign w:val="center"/>
          </w:tcPr>
          <w:p w14:paraId="10B88B06">
            <w:pPr>
              <w:keepNext w:val="0"/>
              <w:keepLines w:val="0"/>
              <w:pageBreakBefore w:val="0"/>
              <w:widowControl/>
              <w:shd w:val="clear"/>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color w:val="auto"/>
                <w:kern w:val="0"/>
                <w:sz w:val="24"/>
                <w:szCs w:val="24"/>
                <w:highlight w:val="none"/>
              </w:rPr>
            </w:pPr>
            <w:r>
              <w:rPr>
                <w:rFonts w:hint="eastAsia" w:ascii="仿宋_GB2312" w:hAnsi="仿宋_GB2312" w:eastAsia="仿宋_GB2312" w:cs="仿宋_GB2312"/>
                <w:color w:val="auto"/>
                <w:kern w:val="0"/>
                <w:sz w:val="24"/>
                <w:szCs w:val="24"/>
                <w:highlight w:val="none"/>
              </w:rPr>
              <w:t>数字媒体艺术设计、艺术设计、动漫设计、影视动画、影视多媒体技术、数字媒体技术、游戏艺术设计、摄影与摄像艺术、视觉传达设计、广告艺术设计、产品艺术设计、室内艺术设计、展示艺术设计、环境艺术设计、公共艺术设计、包装艺术设计、工艺美术品设计、家具艺术设计、人物形象设计、书画艺术（备注：仅限于以上专业报考）</w:t>
            </w:r>
          </w:p>
        </w:tc>
      </w:tr>
    </w:tbl>
    <w:p w14:paraId="47E865E1">
      <w:pPr>
        <w:shd w:val="clear"/>
        <w:spacing w:line="460" w:lineRule="exact"/>
        <w:jc w:val="center"/>
        <w:rPr>
          <w:rFonts w:hint="eastAsia" w:ascii="宋体" w:hAnsi="宋体" w:eastAsia="宋体" w:cs="宋体"/>
          <w:b/>
          <w:color w:val="auto"/>
          <w:sz w:val="36"/>
          <w:szCs w:val="36"/>
          <w:highlight w:val="none"/>
        </w:rPr>
      </w:pPr>
    </w:p>
    <w:p w14:paraId="13ACD3A9">
      <w:pPr>
        <w:shd w:val="clear"/>
        <w:rPr>
          <w:rFonts w:asciiTheme="minorEastAsia" w:hAnsiTheme="minorEastAsia"/>
          <w:b/>
          <w:color w:val="auto"/>
          <w:sz w:val="24"/>
          <w:szCs w:val="24"/>
          <w:highlight w:val="none"/>
        </w:rPr>
      </w:pPr>
      <w:r>
        <w:rPr>
          <w:rFonts w:hint="eastAsia" w:ascii="仿宋_GB2312" w:hAnsi="仿宋_GB2312" w:eastAsia="仿宋_GB2312" w:cs="仿宋_GB2312"/>
          <w:b/>
          <w:color w:val="auto"/>
          <w:sz w:val="24"/>
          <w:szCs w:val="24"/>
          <w:highlight w:val="none"/>
        </w:rPr>
        <w:t>根据《教育部关于印发&lt;职业教育专业目录（2021年）&gt;的通知》 (教职成〔2021〕2号)内容规定，部分高职高专专业名称于2021年进行动态更新，</w:t>
      </w:r>
      <w:r>
        <w:rPr>
          <w:rFonts w:hint="eastAsia" w:ascii="仿宋_GB2312" w:hAnsi="仿宋_GB2312" w:eastAsia="仿宋_GB2312" w:cs="仿宋_GB2312"/>
          <w:b/>
          <w:color w:val="auto"/>
          <w:sz w:val="24"/>
          <w:szCs w:val="24"/>
          <w:highlight w:val="none"/>
          <w:lang w:val="en-US" w:eastAsia="zh-CN"/>
        </w:rPr>
        <w:t>专科应届毕业生专业以《</w:t>
      </w:r>
      <w:r>
        <w:rPr>
          <w:rFonts w:hint="eastAsia" w:ascii="仿宋_GB2312" w:hAnsi="仿宋_GB2312" w:eastAsia="仿宋_GB2312" w:cs="仿宋_GB2312"/>
          <w:b/>
          <w:color w:val="auto"/>
          <w:sz w:val="24"/>
          <w:szCs w:val="24"/>
          <w:highlight w:val="none"/>
        </w:rPr>
        <w:t>职业教育专业目录（2021年）</w:t>
      </w:r>
      <w:r>
        <w:rPr>
          <w:rFonts w:hint="eastAsia" w:ascii="仿宋_GB2312" w:hAnsi="仿宋_GB2312" w:eastAsia="仿宋_GB2312" w:cs="仿宋_GB2312"/>
          <w:b/>
          <w:color w:val="auto"/>
          <w:sz w:val="24"/>
          <w:szCs w:val="24"/>
          <w:highlight w:val="none"/>
          <w:lang w:val="en-US" w:eastAsia="zh-CN"/>
        </w:rPr>
        <w:t>》为准。</w:t>
      </w:r>
      <w:r>
        <w:rPr>
          <w:rFonts w:hint="eastAsia" w:ascii="仿宋_GB2312" w:hAnsi="仿宋_GB2312" w:eastAsia="仿宋_GB2312" w:cs="仿宋_GB2312"/>
          <w:b/>
          <w:color w:val="auto"/>
          <w:sz w:val="24"/>
          <w:szCs w:val="24"/>
          <w:highlight w:val="none"/>
          <w:lang w:eastAsia="zh-CN"/>
        </w:rPr>
        <w:t>参照</w:t>
      </w:r>
      <w:r>
        <w:rPr>
          <w:rFonts w:hint="eastAsia" w:ascii="仿宋_GB2312" w:hAnsi="仿宋_GB2312" w:eastAsia="仿宋_GB2312" w:cs="仿宋_GB2312"/>
          <w:b/>
          <w:color w:val="auto"/>
          <w:sz w:val="24"/>
          <w:szCs w:val="24"/>
          <w:highlight w:val="none"/>
          <w:lang w:val="en-US" w:eastAsia="zh-CN"/>
        </w:rPr>
        <w:t>《</w:t>
      </w:r>
      <w:r>
        <w:rPr>
          <w:rFonts w:hint="eastAsia" w:ascii="仿宋_GB2312" w:hAnsi="仿宋_GB2312" w:eastAsia="仿宋_GB2312" w:cs="仿宋_GB2312"/>
          <w:b/>
          <w:color w:val="auto"/>
          <w:sz w:val="24"/>
          <w:szCs w:val="24"/>
          <w:highlight w:val="none"/>
        </w:rPr>
        <w:t>职业教育专业目录（2021年）</w:t>
      </w:r>
      <w:r>
        <w:rPr>
          <w:rFonts w:hint="eastAsia" w:ascii="仿宋_GB2312" w:hAnsi="仿宋_GB2312" w:eastAsia="仿宋_GB2312" w:cs="仿宋_GB2312"/>
          <w:b/>
          <w:color w:val="auto"/>
          <w:sz w:val="24"/>
          <w:szCs w:val="24"/>
          <w:highlight w:val="none"/>
          <w:lang w:val="en-US" w:eastAsia="zh-CN"/>
        </w:rPr>
        <w:t>》中</w:t>
      </w:r>
      <w:r>
        <w:rPr>
          <w:rFonts w:hint="eastAsia" w:ascii="仿宋_GB2312" w:hAnsi="仿宋_GB2312" w:eastAsia="仿宋_GB2312" w:cs="仿宋_GB2312"/>
          <w:b/>
          <w:color w:val="auto"/>
          <w:sz w:val="24"/>
          <w:szCs w:val="24"/>
          <w:highlight w:val="none"/>
          <w:lang w:eastAsia="zh-CN"/>
        </w:rPr>
        <w:t>《普通高等学校高等职业教育（专科）专业目录新旧专业对照表》，</w:t>
      </w:r>
      <w:r>
        <w:rPr>
          <w:rFonts w:hint="eastAsia" w:ascii="仿宋_GB2312" w:hAnsi="仿宋_GB2312" w:eastAsia="仿宋_GB2312" w:cs="仿宋_GB2312"/>
          <w:b/>
          <w:color w:val="auto"/>
          <w:sz w:val="24"/>
          <w:szCs w:val="24"/>
          <w:highlight w:val="none"/>
          <w:lang w:val="en-US" w:eastAsia="zh-CN"/>
        </w:rPr>
        <w:t>已毕业</w:t>
      </w:r>
      <w:r>
        <w:rPr>
          <w:rFonts w:hint="eastAsia" w:ascii="仿宋_GB2312" w:hAnsi="仿宋_GB2312" w:eastAsia="仿宋_GB2312" w:cs="仿宋_GB2312"/>
          <w:b/>
          <w:color w:val="auto"/>
          <w:sz w:val="24"/>
          <w:szCs w:val="24"/>
          <w:highlight w:val="none"/>
          <w:lang w:eastAsia="zh-CN"/>
        </w:rPr>
        <w:t>退役大学生士兵所学专科专业名称如与规定可报考专业对应的旧专业名称一致，则可以报考。</w:t>
      </w:r>
    </w:p>
    <w:p w14:paraId="4BCDC859">
      <w:pPr>
        <w:shd w:val="clear"/>
        <w:spacing w:line="360" w:lineRule="auto"/>
        <w:jc w:val="left"/>
        <w:rPr>
          <w:rFonts w:ascii="黑体" w:hAnsi="黑体" w:eastAsia="黑体"/>
          <w:color w:val="auto"/>
          <w:sz w:val="32"/>
          <w:szCs w:val="32"/>
          <w:highlight w:val="none"/>
        </w:rPr>
      </w:pPr>
    </w:p>
    <w:p w14:paraId="6564EC5C">
      <w:pPr>
        <w:shd w:val="clear"/>
        <w:rPr>
          <w:rFonts w:ascii="黑体" w:hAnsi="黑体" w:eastAsia="黑体"/>
          <w:color w:val="auto"/>
          <w:sz w:val="32"/>
          <w:szCs w:val="32"/>
          <w:highlight w:val="none"/>
        </w:rPr>
      </w:pPr>
      <w:r>
        <w:rPr>
          <w:rFonts w:ascii="黑体" w:hAnsi="黑体" w:eastAsia="黑体"/>
          <w:color w:val="auto"/>
          <w:sz w:val="32"/>
          <w:szCs w:val="32"/>
          <w:highlight w:val="none"/>
        </w:rPr>
        <w:br w:type="page"/>
      </w:r>
    </w:p>
    <w:p w14:paraId="3F79CD05">
      <w:pPr>
        <w:shd w:val="clear"/>
        <w:spacing w:line="360" w:lineRule="auto"/>
        <w:jc w:val="left"/>
        <w:rPr>
          <w:rFonts w:ascii="黑体" w:hAnsi="黑体" w:eastAsia="黑体"/>
          <w:color w:val="auto"/>
          <w:sz w:val="32"/>
          <w:szCs w:val="32"/>
          <w:highlight w:val="none"/>
        </w:rPr>
      </w:pPr>
      <w:r>
        <w:rPr>
          <w:rFonts w:ascii="黑体" w:hAnsi="黑体" w:eastAsia="黑体"/>
          <w:color w:val="auto"/>
          <w:sz w:val="32"/>
          <w:szCs w:val="32"/>
          <w:highlight w:val="none"/>
        </w:rPr>
        <w:t>附件</w:t>
      </w:r>
      <w:r>
        <w:rPr>
          <w:rFonts w:hint="eastAsia" w:ascii="黑体" w:hAnsi="黑体" w:eastAsia="黑体"/>
          <w:color w:val="auto"/>
          <w:sz w:val="32"/>
          <w:szCs w:val="32"/>
          <w:highlight w:val="none"/>
        </w:rPr>
        <w:t>2</w:t>
      </w:r>
    </w:p>
    <w:p w14:paraId="4D4EAAD7">
      <w:pPr>
        <w:shd w:val="clear"/>
        <w:spacing w:line="460" w:lineRule="exact"/>
        <w:jc w:val="center"/>
        <w:rPr>
          <w:rFonts w:hint="eastAsia" w:asciiTheme="minorEastAsia" w:hAnsiTheme="minorEastAsia"/>
          <w:b/>
          <w:color w:val="auto"/>
          <w:sz w:val="32"/>
          <w:szCs w:val="32"/>
          <w:highlight w:val="none"/>
        </w:rPr>
      </w:pPr>
    </w:p>
    <w:p w14:paraId="4834DE46">
      <w:pPr>
        <w:shd w:val="clear"/>
        <w:spacing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武汉商学院202</w:t>
      </w:r>
      <w:r>
        <w:rPr>
          <w:rFonts w:hint="eastAsia" w:ascii="宋体" w:hAnsi="宋体" w:eastAsia="宋体" w:cs="宋体"/>
          <w:b/>
          <w:color w:val="auto"/>
          <w:sz w:val="44"/>
          <w:szCs w:val="44"/>
          <w:highlight w:val="none"/>
          <w:lang w:val="en-US" w:eastAsia="zh-CN"/>
        </w:rPr>
        <w:t>5</w:t>
      </w:r>
      <w:r>
        <w:rPr>
          <w:rFonts w:hint="eastAsia" w:ascii="宋体" w:hAnsi="宋体" w:eastAsia="宋体" w:cs="宋体"/>
          <w:b/>
          <w:color w:val="auto"/>
          <w:sz w:val="44"/>
          <w:szCs w:val="44"/>
          <w:highlight w:val="none"/>
        </w:rPr>
        <w:t>年普通专升本考试各专业</w:t>
      </w:r>
    </w:p>
    <w:p w14:paraId="31C5ACF4">
      <w:pPr>
        <w:shd w:val="clear"/>
        <w:spacing w:line="460" w:lineRule="exact"/>
        <w:jc w:val="center"/>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考试科目和参考教材</w:t>
      </w:r>
    </w:p>
    <w:p w14:paraId="759DBB52">
      <w:pPr>
        <w:shd w:val="clear"/>
        <w:spacing w:line="460" w:lineRule="exact"/>
        <w:jc w:val="center"/>
        <w:rPr>
          <w:rFonts w:hint="eastAsia" w:ascii="宋体" w:hAnsi="宋体" w:eastAsia="宋体" w:cs="宋体"/>
          <w:b/>
          <w:color w:val="auto"/>
          <w:sz w:val="44"/>
          <w:szCs w:val="44"/>
          <w:highlight w:val="none"/>
        </w:rPr>
      </w:pP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2724"/>
        <w:gridCol w:w="3216"/>
      </w:tblGrid>
      <w:tr w14:paraId="21F54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jc w:val="center"/>
        </w:trPr>
        <w:tc>
          <w:tcPr>
            <w:tcW w:w="3120" w:type="dxa"/>
            <w:vAlign w:val="top"/>
          </w:tcPr>
          <w:p w14:paraId="5D0B14E4">
            <w:pPr>
              <w:keepNext w:val="0"/>
              <w:keepLines w:val="0"/>
              <w:pageBreakBefore w:val="0"/>
              <w:widowControl w:val="0"/>
              <w:shd w:val="clear"/>
              <w:kinsoku/>
              <w:wordWrap/>
              <w:overflowPunct/>
              <w:topLinePunct w:val="0"/>
              <w:autoSpaceDE/>
              <w:autoSpaceDN/>
              <w:bidi w:val="0"/>
              <w:adjustRightInd w:val="0"/>
              <w:snapToGrid w:val="0"/>
              <w:spacing w:afterAutospacing="0" w:line="540" w:lineRule="exact"/>
              <w:jc w:val="center"/>
              <w:textAlignment w:val="auto"/>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w:t>
            </w:r>
          </w:p>
        </w:tc>
        <w:tc>
          <w:tcPr>
            <w:tcW w:w="2724" w:type="dxa"/>
            <w:vAlign w:val="top"/>
          </w:tcPr>
          <w:p w14:paraId="7309D880">
            <w:pPr>
              <w:keepNext w:val="0"/>
              <w:keepLines w:val="0"/>
              <w:pageBreakBefore w:val="0"/>
              <w:widowControl w:val="0"/>
              <w:shd w:val="clear"/>
              <w:kinsoku/>
              <w:wordWrap/>
              <w:overflowPunct/>
              <w:topLinePunct w:val="0"/>
              <w:autoSpaceDE/>
              <w:autoSpaceDN/>
              <w:bidi w:val="0"/>
              <w:adjustRightInd w:val="0"/>
              <w:snapToGrid w:val="0"/>
              <w:spacing w:afterAutospacing="0" w:line="540" w:lineRule="exact"/>
              <w:jc w:val="center"/>
              <w:textAlignment w:val="auto"/>
              <w:rPr>
                <w:rFonts w:hint="eastAsia" w:ascii="仿宋_GB2312" w:hAnsi="仿宋_GB2312" w:eastAsia="仿宋_GB2312" w:cs="仿宋_GB2312"/>
                <w:b/>
                <w:color w:val="auto"/>
                <w:sz w:val="24"/>
                <w:szCs w:val="24"/>
                <w:highlight w:val="none"/>
                <w:lang w:val="en-US" w:eastAsia="zh-CN"/>
              </w:rPr>
            </w:pPr>
            <w:r>
              <w:rPr>
                <w:rFonts w:hint="eastAsia" w:ascii="仿宋_GB2312" w:hAnsi="仿宋_GB2312" w:eastAsia="仿宋_GB2312" w:cs="仿宋_GB2312"/>
                <w:b/>
                <w:color w:val="auto"/>
                <w:sz w:val="24"/>
                <w:szCs w:val="24"/>
                <w:highlight w:val="none"/>
                <w:lang w:val="en-US" w:eastAsia="zh-CN"/>
              </w:rPr>
              <w:t>公共课</w:t>
            </w:r>
          </w:p>
        </w:tc>
        <w:tc>
          <w:tcPr>
            <w:tcW w:w="3216" w:type="dxa"/>
            <w:vAlign w:val="top"/>
          </w:tcPr>
          <w:p w14:paraId="22104AC8">
            <w:pPr>
              <w:keepNext w:val="0"/>
              <w:keepLines w:val="0"/>
              <w:pageBreakBefore w:val="0"/>
              <w:widowControl w:val="0"/>
              <w:shd w:val="clear"/>
              <w:kinsoku/>
              <w:wordWrap/>
              <w:overflowPunct/>
              <w:topLinePunct w:val="0"/>
              <w:autoSpaceDE/>
              <w:autoSpaceDN/>
              <w:bidi w:val="0"/>
              <w:adjustRightInd w:val="0"/>
              <w:snapToGrid w:val="0"/>
              <w:spacing w:afterAutospacing="0" w:line="540" w:lineRule="exact"/>
              <w:jc w:val="center"/>
              <w:textAlignment w:val="auto"/>
              <w:rPr>
                <w:rFonts w:hint="eastAsia" w:ascii="仿宋_GB2312" w:hAnsi="仿宋_GB2312" w:eastAsia="仿宋_GB2312" w:cs="仿宋_GB2312"/>
                <w:b/>
                <w:color w:val="auto"/>
                <w:sz w:val="24"/>
                <w:szCs w:val="24"/>
                <w:highlight w:val="none"/>
                <w:lang w:eastAsia="zh-CN"/>
              </w:rPr>
            </w:pPr>
            <w:r>
              <w:rPr>
                <w:rFonts w:hint="eastAsia" w:ascii="仿宋_GB2312" w:hAnsi="仿宋_GB2312" w:eastAsia="仿宋_GB2312" w:cs="仿宋_GB2312"/>
                <w:b/>
                <w:color w:val="auto"/>
                <w:sz w:val="24"/>
                <w:szCs w:val="24"/>
                <w:highlight w:val="none"/>
                <w:lang w:val="en-US" w:eastAsia="zh-CN"/>
              </w:rPr>
              <w:t>专业课</w:t>
            </w:r>
          </w:p>
        </w:tc>
      </w:tr>
      <w:tr w14:paraId="7B8E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0AA7F0EB">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休闲体育</w:t>
            </w:r>
          </w:p>
        </w:tc>
        <w:tc>
          <w:tcPr>
            <w:tcW w:w="2724" w:type="dxa"/>
            <w:vAlign w:val="center"/>
          </w:tcPr>
          <w:p w14:paraId="5EB2E714">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0C36ED5A">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运动训练学</w:t>
            </w:r>
          </w:p>
        </w:tc>
      </w:tr>
      <w:tr w14:paraId="412F7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jc w:val="center"/>
        </w:trPr>
        <w:tc>
          <w:tcPr>
            <w:tcW w:w="3120" w:type="dxa"/>
            <w:vAlign w:val="center"/>
          </w:tcPr>
          <w:p w14:paraId="7DFB3D61">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kern w:val="0"/>
                <w:sz w:val="24"/>
                <w:szCs w:val="24"/>
                <w:highlight w:val="none"/>
                <w:lang w:bidi="ar"/>
              </w:rPr>
              <w:t>建筑环境与能源应用工</w:t>
            </w:r>
            <w:r>
              <w:rPr>
                <w:rFonts w:hint="eastAsia" w:ascii="仿宋_GB2312" w:hAnsi="仿宋_GB2312" w:eastAsia="仿宋_GB2312" w:cs="仿宋_GB2312"/>
                <w:color w:val="auto"/>
                <w:kern w:val="0"/>
                <w:sz w:val="24"/>
                <w:szCs w:val="24"/>
                <w:highlight w:val="none"/>
                <w:lang w:val="en-US" w:eastAsia="zh-CN" w:bidi="ar"/>
              </w:rPr>
              <w:t>程</w:t>
            </w:r>
          </w:p>
        </w:tc>
        <w:tc>
          <w:tcPr>
            <w:tcW w:w="2724" w:type="dxa"/>
            <w:vAlign w:val="center"/>
          </w:tcPr>
          <w:p w14:paraId="35EDA1C6">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7690E266">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工程热力学</w:t>
            </w:r>
          </w:p>
        </w:tc>
      </w:tr>
      <w:tr w14:paraId="30BE2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4632D753">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食品质量与安全</w:t>
            </w:r>
          </w:p>
        </w:tc>
        <w:tc>
          <w:tcPr>
            <w:tcW w:w="2724" w:type="dxa"/>
            <w:vAlign w:val="center"/>
          </w:tcPr>
          <w:p w14:paraId="6E7B0547">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29069DEE">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食品安全学</w:t>
            </w:r>
          </w:p>
        </w:tc>
      </w:tr>
      <w:tr w14:paraId="22F4C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5CFDD3F1">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烹饪与营养教育</w:t>
            </w:r>
          </w:p>
        </w:tc>
        <w:tc>
          <w:tcPr>
            <w:tcW w:w="2724" w:type="dxa"/>
            <w:vAlign w:val="center"/>
          </w:tcPr>
          <w:p w14:paraId="5285391C">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5AB72E9B">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烹调工艺学</w:t>
            </w:r>
          </w:p>
        </w:tc>
      </w:tr>
      <w:tr w14:paraId="54C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5048CD31">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零售业管理</w:t>
            </w:r>
          </w:p>
        </w:tc>
        <w:tc>
          <w:tcPr>
            <w:tcW w:w="2724" w:type="dxa"/>
            <w:vAlign w:val="center"/>
          </w:tcPr>
          <w:p w14:paraId="50FD53C0">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0C3F391B">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市场营销学</w:t>
            </w:r>
          </w:p>
        </w:tc>
      </w:tr>
      <w:tr w14:paraId="4EC5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5EE4142B">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酒店管理</w:t>
            </w:r>
          </w:p>
        </w:tc>
        <w:tc>
          <w:tcPr>
            <w:tcW w:w="2724" w:type="dxa"/>
            <w:vAlign w:val="center"/>
          </w:tcPr>
          <w:p w14:paraId="39E480A6">
            <w:pPr>
              <w:keepNext w:val="0"/>
              <w:keepLines w:val="0"/>
              <w:pageBreakBefore w:val="0"/>
              <w:widowControl/>
              <w:shd w:val="clear"/>
              <w:kinsoku/>
              <w:wordWrap/>
              <w:overflowPunct/>
              <w:topLinePunct w:val="0"/>
              <w:autoSpaceDE/>
              <w:autoSpaceDN/>
              <w:bidi w:val="0"/>
              <w:adjustRightInd/>
              <w:snapToGrid/>
              <w:spacing w:before="100" w:beforeAutospacing="1" w:afterAutospacing="0" w:line="540" w:lineRule="exact"/>
              <w:jc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16075E00">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酒店管理概论</w:t>
            </w:r>
          </w:p>
        </w:tc>
      </w:tr>
      <w:tr w14:paraId="1A2C9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35671B78">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会展经济与管理</w:t>
            </w:r>
          </w:p>
        </w:tc>
        <w:tc>
          <w:tcPr>
            <w:tcW w:w="2724" w:type="dxa"/>
            <w:vAlign w:val="center"/>
          </w:tcPr>
          <w:p w14:paraId="3CDA70D4">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3C74D3C2">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会展营销</w:t>
            </w:r>
          </w:p>
        </w:tc>
      </w:tr>
      <w:tr w14:paraId="114D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550600FE">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旅游管理与服务教育</w:t>
            </w:r>
          </w:p>
        </w:tc>
        <w:tc>
          <w:tcPr>
            <w:tcW w:w="2724" w:type="dxa"/>
            <w:vAlign w:val="center"/>
          </w:tcPr>
          <w:p w14:paraId="214690C1">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039E2DE1">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旅游学概论</w:t>
            </w:r>
          </w:p>
        </w:tc>
      </w:tr>
      <w:tr w14:paraId="5A91A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3120" w:type="dxa"/>
            <w:vAlign w:val="center"/>
          </w:tcPr>
          <w:p w14:paraId="61566510">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数字媒体艺术</w:t>
            </w:r>
          </w:p>
        </w:tc>
        <w:tc>
          <w:tcPr>
            <w:tcW w:w="2724" w:type="dxa"/>
            <w:vAlign w:val="center"/>
          </w:tcPr>
          <w:p w14:paraId="3EC3C45D">
            <w:pPr>
              <w:keepNext w:val="0"/>
              <w:keepLines w:val="0"/>
              <w:pageBreakBefore w:val="0"/>
              <w:shd w:val="clear"/>
              <w:kinsoku/>
              <w:wordWrap/>
              <w:overflowPunct/>
              <w:topLinePunct w:val="0"/>
              <w:autoSpaceDE/>
              <w:autoSpaceDN/>
              <w:bidi w:val="0"/>
              <w:adjustRightInd/>
              <w:snapToGrid/>
              <w:spacing w:afterAutospacing="0"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3216" w:type="dxa"/>
            <w:vAlign w:val="center"/>
          </w:tcPr>
          <w:p w14:paraId="5C6AD956">
            <w:pPr>
              <w:keepNext w:val="0"/>
              <w:keepLines w:val="0"/>
              <w:pageBreakBefore w:val="0"/>
              <w:widowControl/>
              <w:shd w:val="clear"/>
              <w:kinsoku/>
              <w:wordWrap/>
              <w:overflowPunct/>
              <w:topLinePunct w:val="0"/>
              <w:autoSpaceDE/>
              <w:autoSpaceDN/>
              <w:bidi w:val="0"/>
              <w:adjustRightInd/>
              <w:snapToGrid/>
              <w:spacing w:afterAutospacing="0"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数字媒体艺术概论</w:t>
            </w:r>
          </w:p>
        </w:tc>
      </w:tr>
    </w:tbl>
    <w:p w14:paraId="1799CE85">
      <w:pPr>
        <w:shd w:val="clear"/>
        <w:spacing w:line="460" w:lineRule="exact"/>
        <w:jc w:val="both"/>
        <w:rPr>
          <w:rFonts w:hint="eastAsia" w:ascii="宋体" w:hAnsi="宋体" w:eastAsia="宋体" w:cs="宋体"/>
          <w:b/>
          <w:color w:val="auto"/>
          <w:sz w:val="44"/>
          <w:szCs w:val="44"/>
          <w:highlight w:val="none"/>
        </w:rPr>
      </w:pPr>
    </w:p>
    <w:p w14:paraId="4C85A22B">
      <w:pPr>
        <w:shd w:val="clear"/>
        <w:rPr>
          <w:rFonts w:hint="eastAsia"/>
          <w:color w:val="auto"/>
          <w:highlight w:val="none"/>
        </w:rPr>
      </w:pPr>
      <w:r>
        <w:rPr>
          <w:rFonts w:hint="eastAsia" w:ascii="仿宋_GB2312" w:hAnsi="仿宋_GB2312" w:eastAsia="仿宋_GB2312" w:cs="仿宋_GB2312"/>
          <w:b/>
          <w:color w:val="auto"/>
          <w:sz w:val="24"/>
          <w:szCs w:val="24"/>
          <w:highlight w:val="none"/>
        </w:rPr>
        <w:t>注：大学英语单科总分100分，</w:t>
      </w:r>
      <w:r>
        <w:rPr>
          <w:rFonts w:hint="eastAsia" w:ascii="仿宋_GB2312" w:hAnsi="仿宋_GB2312" w:eastAsia="仿宋_GB2312" w:cs="仿宋_GB2312"/>
          <w:b/>
          <w:color w:val="auto"/>
          <w:sz w:val="24"/>
          <w:szCs w:val="24"/>
          <w:highlight w:val="none"/>
          <w:lang w:val="en-US" w:eastAsia="zh-CN"/>
        </w:rPr>
        <w:t>专业课单科</w:t>
      </w:r>
      <w:r>
        <w:rPr>
          <w:rFonts w:hint="eastAsia" w:ascii="仿宋_GB2312" w:hAnsi="仿宋_GB2312" w:eastAsia="仿宋_GB2312" w:cs="仿宋_GB2312"/>
          <w:b/>
          <w:color w:val="auto"/>
          <w:sz w:val="24"/>
          <w:szCs w:val="24"/>
          <w:highlight w:val="none"/>
        </w:rPr>
        <w:t>总分1</w:t>
      </w:r>
      <w:r>
        <w:rPr>
          <w:rFonts w:hint="eastAsia" w:ascii="仿宋_GB2312" w:hAnsi="仿宋_GB2312" w:eastAsia="仿宋_GB2312" w:cs="仿宋_GB2312"/>
          <w:b/>
          <w:color w:val="auto"/>
          <w:sz w:val="24"/>
          <w:szCs w:val="24"/>
          <w:highlight w:val="none"/>
          <w:lang w:val="en-US" w:eastAsia="zh-CN"/>
        </w:rPr>
        <w:t>2</w:t>
      </w:r>
      <w:r>
        <w:rPr>
          <w:rFonts w:hint="eastAsia" w:ascii="仿宋_GB2312" w:hAnsi="仿宋_GB2312" w:eastAsia="仿宋_GB2312" w:cs="仿宋_GB2312"/>
          <w:b/>
          <w:color w:val="auto"/>
          <w:sz w:val="24"/>
          <w:szCs w:val="24"/>
          <w:highlight w:val="none"/>
        </w:rPr>
        <w:t>0分，各科目的考试大纲，后续可在教务处主页“普通专升本”专栏中下载。考试大纲仅供参考。</w:t>
      </w:r>
    </w:p>
    <w:tbl>
      <w:tblPr>
        <w:tblStyle w:val="7"/>
        <w:tblpPr w:leftFromText="180" w:rightFromText="180" w:vertAnchor="text" w:horzAnchor="page" w:tblpX="1477" w:tblpY="2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3"/>
        <w:gridCol w:w="6427"/>
      </w:tblGrid>
      <w:tr w14:paraId="32193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33" w:type="dxa"/>
            <w:vAlign w:val="center"/>
          </w:tcPr>
          <w:p w14:paraId="3ADC607C">
            <w:pPr>
              <w:keepNext w:val="0"/>
              <w:keepLines w:val="0"/>
              <w:pageBreakBefore w:val="0"/>
              <w:shd w:val="clear"/>
              <w:kinsoku/>
              <w:wordWrap/>
              <w:overflowPunct/>
              <w:topLinePunct w:val="0"/>
              <w:autoSpaceDE/>
              <w:autoSpaceDN/>
              <w:bidi w:val="0"/>
              <w:adjustRightInd/>
              <w:snapToGrid/>
              <w:spacing w:line="42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考试科目</w:t>
            </w:r>
          </w:p>
        </w:tc>
        <w:tc>
          <w:tcPr>
            <w:tcW w:w="6427" w:type="dxa"/>
            <w:vAlign w:val="center"/>
          </w:tcPr>
          <w:p w14:paraId="46253CF7">
            <w:pPr>
              <w:keepNext w:val="0"/>
              <w:keepLines w:val="0"/>
              <w:pageBreakBefore w:val="0"/>
              <w:shd w:val="clear"/>
              <w:kinsoku/>
              <w:wordWrap/>
              <w:overflowPunct/>
              <w:topLinePunct w:val="0"/>
              <w:autoSpaceDE/>
              <w:autoSpaceDN/>
              <w:bidi w:val="0"/>
              <w:adjustRightInd/>
              <w:snapToGrid/>
              <w:spacing w:line="42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参考教材</w:t>
            </w:r>
          </w:p>
        </w:tc>
      </w:tr>
      <w:tr w14:paraId="71172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633" w:type="dxa"/>
            <w:vAlign w:val="center"/>
          </w:tcPr>
          <w:p w14:paraId="0D798121">
            <w:pPr>
              <w:keepNext w:val="0"/>
              <w:keepLines w:val="0"/>
              <w:pageBreakBefore w:val="0"/>
              <w:shd w:val="clear"/>
              <w:kinsoku/>
              <w:wordWrap/>
              <w:overflowPunct/>
              <w:topLinePunct w:val="0"/>
              <w:autoSpaceDE/>
              <w:autoSpaceDN/>
              <w:bidi w:val="0"/>
              <w:adjustRightInd/>
              <w:snapToGrid/>
              <w:spacing w:line="42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大学英语</w:t>
            </w:r>
          </w:p>
        </w:tc>
        <w:tc>
          <w:tcPr>
            <w:tcW w:w="6427" w:type="dxa"/>
            <w:vAlign w:val="center"/>
          </w:tcPr>
          <w:p w14:paraId="59230EBD">
            <w:pPr>
              <w:keepNext w:val="0"/>
              <w:keepLines w:val="0"/>
              <w:pageBreakBefore w:val="0"/>
              <w:shd w:val="clear"/>
              <w:kinsoku/>
              <w:wordWrap/>
              <w:overflowPunct/>
              <w:topLinePunct w:val="0"/>
              <w:autoSpaceDE/>
              <w:autoSpaceDN/>
              <w:bidi w:val="0"/>
              <w:adjustRightInd/>
              <w:snapToGrid/>
              <w:spacing w:line="42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无</w:t>
            </w:r>
          </w:p>
        </w:tc>
      </w:tr>
      <w:tr w14:paraId="46438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663C278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运动训练学</w:t>
            </w:r>
          </w:p>
        </w:tc>
        <w:tc>
          <w:tcPr>
            <w:tcW w:w="6427" w:type="dxa"/>
            <w:vAlign w:val="center"/>
          </w:tcPr>
          <w:p w14:paraId="7F67AF71">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4"/>
                <w:highlight w:val="none"/>
              </w:rPr>
              <w:t>《运动训练学》（第2版），作者：田麦久，出版社：高等教育出版社，出版时间：2017年</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ISBN</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9787040473865</w:t>
            </w:r>
          </w:p>
        </w:tc>
      </w:tr>
      <w:tr w14:paraId="7336A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15F2B7D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工程热力学</w:t>
            </w:r>
          </w:p>
        </w:tc>
        <w:tc>
          <w:tcPr>
            <w:tcW w:w="6427" w:type="dxa"/>
            <w:vAlign w:val="center"/>
          </w:tcPr>
          <w:p w14:paraId="53E482CB">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《工程热力学》（第6版），作者：童钧耕、王丽伟、叶强，出版社：高等教育出版社，出版时间：2022年，ISBN：9787040572438</w:t>
            </w:r>
          </w:p>
        </w:tc>
      </w:tr>
      <w:tr w14:paraId="19AC1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0A4A6738">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食品安全学</w:t>
            </w:r>
          </w:p>
        </w:tc>
        <w:tc>
          <w:tcPr>
            <w:tcW w:w="6427" w:type="dxa"/>
            <w:vAlign w:val="center"/>
          </w:tcPr>
          <w:p w14:paraId="651B45D0">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《食品安全学》（第</w:t>
            </w:r>
            <w:r>
              <w:rPr>
                <w:rFonts w:hint="eastAsia" w:ascii="仿宋_GB2312" w:hAnsi="仿宋_GB2312" w:eastAsia="仿宋_GB2312" w:cs="仿宋_GB2312"/>
                <w:color w:val="auto"/>
                <w:kern w:val="0"/>
                <w:sz w:val="24"/>
                <w:szCs w:val="24"/>
                <w:highlight w:val="none"/>
                <w:lang w:val="en-US" w:eastAsia="zh-CN" w:bidi="ar"/>
              </w:rPr>
              <w:t>二</w:t>
            </w:r>
            <w:r>
              <w:rPr>
                <w:rFonts w:hint="eastAsia" w:ascii="仿宋_GB2312" w:hAnsi="仿宋_GB2312" w:eastAsia="仿宋_GB2312" w:cs="仿宋_GB2312"/>
                <w:color w:val="auto"/>
                <w:kern w:val="0"/>
                <w:sz w:val="24"/>
                <w:szCs w:val="24"/>
                <w:highlight w:val="none"/>
                <w:lang w:bidi="ar"/>
              </w:rPr>
              <w:t>版），作者：王际辉、叶淑红，出版社：中国轻工业出版社，出版时间：2020年，</w:t>
            </w:r>
            <w:r>
              <w:rPr>
                <w:rFonts w:hint="eastAsia" w:ascii="仿宋_GB2312" w:hAnsi="仿宋_GB2312" w:eastAsia="仿宋_GB2312" w:cs="仿宋_GB2312"/>
                <w:color w:val="auto"/>
                <w:sz w:val="24"/>
                <w:szCs w:val="24"/>
                <w:highlight w:val="none"/>
              </w:rPr>
              <w:t>ISBN：9787518424696</w:t>
            </w:r>
          </w:p>
        </w:tc>
      </w:tr>
      <w:tr w14:paraId="57590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3997B0BF">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烹调工艺学</w:t>
            </w:r>
          </w:p>
        </w:tc>
        <w:tc>
          <w:tcPr>
            <w:tcW w:w="6427" w:type="dxa"/>
            <w:vAlign w:val="center"/>
          </w:tcPr>
          <w:p w14:paraId="5B9B2228">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《烹调工艺学》（第3版），作者：邵万宽，出版社：旅游教育出版社，出版时间：2022年，ISBN：9787563742981</w:t>
            </w:r>
          </w:p>
        </w:tc>
      </w:tr>
      <w:tr w14:paraId="4F2A6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5A019DBD">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市场营销学</w:t>
            </w:r>
          </w:p>
        </w:tc>
        <w:tc>
          <w:tcPr>
            <w:tcW w:w="6427" w:type="dxa"/>
            <w:vAlign w:val="center"/>
          </w:tcPr>
          <w:p w14:paraId="3C62823E">
            <w:pPr>
              <w:keepNext w:val="0"/>
              <w:keepLines w:val="0"/>
              <w:pageBreakBefore w:val="0"/>
              <w:shd w:val="clear"/>
              <w:kinsoku/>
              <w:wordWrap/>
              <w:overflowPunct/>
              <w:topLinePunct w:val="0"/>
              <w:autoSpaceDE/>
              <w:autoSpaceDN/>
              <w:bidi w:val="0"/>
              <w:adjustRightInd/>
              <w:snapToGrid/>
              <w:spacing w:line="420" w:lineRule="exact"/>
              <w:jc w:val="both"/>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sz w:val="24"/>
                <w:szCs w:val="24"/>
                <w:highlight w:val="none"/>
              </w:rPr>
              <w:t>《市场营销学》（第4版），作者：梁文玲，出版社：中国人民大学出版社，出版时间：2022年，ISBN：9787300308128</w:t>
            </w:r>
          </w:p>
        </w:tc>
      </w:tr>
      <w:tr w14:paraId="79809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71CEABD9">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酒店管理概论</w:t>
            </w:r>
          </w:p>
        </w:tc>
        <w:tc>
          <w:tcPr>
            <w:tcW w:w="6427" w:type="dxa"/>
            <w:vAlign w:val="center"/>
          </w:tcPr>
          <w:p w14:paraId="30F7C933">
            <w:pPr>
              <w:keepNext w:val="0"/>
              <w:keepLines w:val="0"/>
              <w:pageBreakBefore w:val="0"/>
              <w:shd w:val="clear"/>
              <w:kinsoku/>
              <w:wordWrap/>
              <w:overflowPunct/>
              <w:topLinePunct w:val="0"/>
              <w:autoSpaceDE/>
              <w:autoSpaceDN/>
              <w:bidi w:val="0"/>
              <w:adjustRightInd/>
              <w:snapToGrid/>
              <w:spacing w:line="42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《酒店管理概论》（第二版），作者：魏卫，出版社：华中科技大学出版社，出版时间：2024年，ISBN：9787577205038</w:t>
            </w:r>
          </w:p>
        </w:tc>
      </w:tr>
      <w:tr w14:paraId="2A2E0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314598CE">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会展营销</w:t>
            </w:r>
          </w:p>
        </w:tc>
        <w:tc>
          <w:tcPr>
            <w:tcW w:w="6427" w:type="dxa"/>
            <w:vAlign w:val="center"/>
          </w:tcPr>
          <w:p w14:paraId="6883D11B">
            <w:pPr>
              <w:keepNext w:val="0"/>
              <w:keepLines w:val="0"/>
              <w:pageBreakBefore w:val="0"/>
              <w:shd w:val="clear"/>
              <w:kinsoku/>
              <w:wordWrap/>
              <w:overflowPunct/>
              <w:topLinePunct w:val="0"/>
              <w:autoSpaceDE/>
              <w:autoSpaceDN/>
              <w:bidi w:val="0"/>
              <w:adjustRightInd/>
              <w:snapToGrid/>
              <w:spacing w:line="42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《会展营销》，作者：周杰，出版社：重庆大学出版社，出版时间：2018年，ISBN：9787568911771</w:t>
            </w:r>
          </w:p>
        </w:tc>
      </w:tr>
      <w:tr w14:paraId="1FB6F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003661ED">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旅游学概论</w:t>
            </w:r>
          </w:p>
        </w:tc>
        <w:tc>
          <w:tcPr>
            <w:tcW w:w="6427" w:type="dxa"/>
            <w:vAlign w:val="center"/>
          </w:tcPr>
          <w:p w14:paraId="457E25B4">
            <w:pPr>
              <w:keepNext w:val="0"/>
              <w:keepLines w:val="0"/>
              <w:pageBreakBefore w:val="0"/>
              <w:shd w:val="clear"/>
              <w:kinsoku/>
              <w:wordWrap/>
              <w:overflowPunct/>
              <w:topLinePunct w:val="0"/>
              <w:autoSpaceDE/>
              <w:autoSpaceDN/>
              <w:bidi w:val="0"/>
              <w:adjustRightInd/>
              <w:snapToGrid/>
              <w:spacing w:line="420" w:lineRule="exact"/>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《旅游学概论》（第三版），刘琼英、刘娜，</w:t>
            </w:r>
            <w:r>
              <w:rPr>
                <w:rFonts w:hint="eastAsia" w:ascii="仿宋_GB2312" w:hAnsi="仿宋_GB2312" w:eastAsia="仿宋_GB2312" w:cs="仿宋_GB2312"/>
                <w:color w:val="auto"/>
                <w:sz w:val="24"/>
                <w:szCs w:val="24"/>
                <w:highlight w:val="none"/>
                <w:lang w:val="en-US" w:eastAsia="zh-CN"/>
              </w:rPr>
              <w:t>出版社：</w:t>
            </w:r>
            <w:r>
              <w:rPr>
                <w:rFonts w:hint="eastAsia" w:ascii="仿宋_GB2312" w:hAnsi="仿宋_GB2312" w:eastAsia="仿宋_GB2312" w:cs="仿宋_GB2312"/>
                <w:color w:val="auto"/>
                <w:sz w:val="24"/>
                <w:szCs w:val="24"/>
                <w:highlight w:val="none"/>
              </w:rPr>
              <w:t>广西师范大学出版社，</w:t>
            </w:r>
            <w:r>
              <w:rPr>
                <w:rFonts w:hint="eastAsia" w:ascii="仿宋_GB2312" w:hAnsi="仿宋_GB2312" w:eastAsia="仿宋_GB2312" w:cs="仿宋_GB2312"/>
                <w:color w:val="auto"/>
                <w:sz w:val="24"/>
                <w:szCs w:val="24"/>
                <w:highlight w:val="none"/>
                <w:lang w:val="en-US" w:eastAsia="zh-CN"/>
              </w:rPr>
              <w:t>出版时间：</w:t>
            </w:r>
            <w:r>
              <w:rPr>
                <w:rFonts w:hint="eastAsia" w:ascii="仿宋_GB2312" w:hAnsi="仿宋_GB2312" w:eastAsia="仿宋_GB2312" w:cs="仿宋_GB2312"/>
                <w:color w:val="auto"/>
                <w:sz w:val="24"/>
                <w:szCs w:val="24"/>
                <w:highlight w:val="none"/>
              </w:rPr>
              <w:t>2021年</w:t>
            </w:r>
            <w:r>
              <w:rPr>
                <w:rFonts w:hint="eastAsia" w:ascii="仿宋_GB2312" w:hAnsi="仿宋_GB2312" w:eastAsia="仿宋_GB2312" w:cs="仿宋_GB2312"/>
                <w:color w:val="auto"/>
                <w:sz w:val="24"/>
                <w:szCs w:val="24"/>
                <w:highlight w:val="none"/>
                <w:lang w:val="en-US" w:eastAsia="zh-CN"/>
              </w:rPr>
              <w:t>，I</w:t>
            </w:r>
            <w:r>
              <w:rPr>
                <w:rFonts w:hint="eastAsia" w:ascii="仿宋_GB2312" w:hAnsi="仿宋_GB2312" w:eastAsia="仿宋_GB2312" w:cs="仿宋_GB2312"/>
                <w:color w:val="auto"/>
                <w:sz w:val="24"/>
                <w:szCs w:val="24"/>
                <w:highlight w:val="none"/>
              </w:rPr>
              <w:t>SBN：9787559808905</w:t>
            </w:r>
          </w:p>
        </w:tc>
      </w:tr>
      <w:tr w14:paraId="2B96E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633" w:type="dxa"/>
            <w:vAlign w:val="center"/>
          </w:tcPr>
          <w:p w14:paraId="3B574EBB">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val="en-US" w:eastAsia="zh-CN" w:bidi="ar"/>
              </w:rPr>
              <w:t>数字媒体艺术概论</w:t>
            </w:r>
          </w:p>
        </w:tc>
        <w:tc>
          <w:tcPr>
            <w:tcW w:w="6427" w:type="dxa"/>
            <w:vAlign w:val="center"/>
          </w:tcPr>
          <w:p w14:paraId="4245FF68">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val="en-US" w:eastAsia="zh-CN" w:bidi="ar"/>
              </w:rPr>
              <w:t>数字媒体艺术概论</w:t>
            </w:r>
            <w:r>
              <w:rPr>
                <w:rFonts w:hint="eastAsia" w:ascii="仿宋_GB2312" w:hAnsi="仿宋_GB2312" w:eastAsia="仿宋_GB2312" w:cs="仿宋_GB2312"/>
                <w:color w:val="auto"/>
                <w:kern w:val="0"/>
                <w:sz w:val="24"/>
                <w:szCs w:val="24"/>
                <w:highlight w:val="none"/>
                <w:lang w:bidi="ar"/>
              </w:rPr>
              <w:t>》</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val="en-US" w:eastAsia="zh-CN" w:bidi="ar"/>
              </w:rPr>
              <w:t>第4版</w:t>
            </w:r>
            <w:r>
              <w:rPr>
                <w:rFonts w:hint="eastAsia" w:ascii="仿宋_GB2312" w:hAnsi="仿宋_GB2312" w:eastAsia="仿宋_GB2312" w:cs="仿宋_GB2312"/>
                <w:color w:val="auto"/>
                <w:kern w:val="0"/>
                <w:sz w:val="24"/>
                <w:szCs w:val="24"/>
                <w:highlight w:val="none"/>
                <w:lang w:eastAsia="zh-CN" w:bidi="ar"/>
              </w:rPr>
              <w:t>）</w:t>
            </w:r>
            <w:r>
              <w:rPr>
                <w:rFonts w:hint="eastAsia" w:ascii="仿宋_GB2312" w:hAnsi="仿宋_GB2312" w:eastAsia="仿宋_GB2312" w:cs="仿宋_GB2312"/>
                <w:color w:val="auto"/>
                <w:kern w:val="0"/>
                <w:sz w:val="24"/>
                <w:szCs w:val="24"/>
                <w:highlight w:val="none"/>
                <w:lang w:bidi="ar"/>
              </w:rPr>
              <w:t>，作者：</w:t>
            </w:r>
            <w:r>
              <w:rPr>
                <w:rFonts w:hint="eastAsia" w:ascii="仿宋_GB2312" w:hAnsi="仿宋_GB2312" w:eastAsia="仿宋_GB2312" w:cs="仿宋_GB2312"/>
                <w:color w:val="auto"/>
                <w:kern w:val="0"/>
                <w:sz w:val="24"/>
                <w:szCs w:val="24"/>
                <w:highlight w:val="none"/>
                <w:lang w:val="en-US" w:eastAsia="zh-CN" w:bidi="ar"/>
              </w:rPr>
              <w:t>李四达</w:t>
            </w:r>
            <w:r>
              <w:rPr>
                <w:rFonts w:hint="eastAsia" w:ascii="仿宋_GB2312" w:hAnsi="仿宋_GB2312" w:eastAsia="仿宋_GB2312" w:cs="仿宋_GB2312"/>
                <w:color w:val="auto"/>
                <w:kern w:val="0"/>
                <w:sz w:val="24"/>
                <w:szCs w:val="24"/>
                <w:highlight w:val="none"/>
                <w:lang w:bidi="ar"/>
              </w:rPr>
              <w:t>，出版社：</w:t>
            </w:r>
            <w:r>
              <w:rPr>
                <w:rFonts w:hint="eastAsia" w:ascii="仿宋_GB2312" w:hAnsi="仿宋_GB2312" w:eastAsia="仿宋_GB2312" w:cs="仿宋_GB2312"/>
                <w:color w:val="auto"/>
                <w:kern w:val="0"/>
                <w:sz w:val="24"/>
                <w:szCs w:val="24"/>
                <w:highlight w:val="none"/>
                <w:lang w:val="en-US" w:eastAsia="zh-CN" w:bidi="ar"/>
              </w:rPr>
              <w:t>清华大学出版社</w:t>
            </w:r>
            <w:r>
              <w:rPr>
                <w:rFonts w:hint="eastAsia" w:ascii="仿宋_GB2312" w:hAnsi="仿宋_GB2312" w:eastAsia="仿宋_GB2312" w:cs="仿宋_GB2312"/>
                <w:color w:val="auto"/>
                <w:kern w:val="0"/>
                <w:sz w:val="24"/>
                <w:szCs w:val="24"/>
                <w:highlight w:val="none"/>
                <w:lang w:bidi="ar"/>
              </w:rPr>
              <w:t>，出版时间：</w:t>
            </w:r>
            <w:r>
              <w:rPr>
                <w:rFonts w:hint="eastAsia" w:ascii="仿宋_GB2312" w:hAnsi="仿宋_GB2312" w:eastAsia="仿宋_GB2312" w:cs="仿宋_GB2312"/>
                <w:color w:val="auto"/>
                <w:kern w:val="0"/>
                <w:sz w:val="24"/>
                <w:szCs w:val="24"/>
                <w:highlight w:val="none"/>
                <w:lang w:val="en-US" w:eastAsia="zh-CN" w:bidi="ar"/>
              </w:rPr>
              <w:t>2020</w:t>
            </w:r>
            <w:r>
              <w:rPr>
                <w:rFonts w:hint="eastAsia" w:ascii="仿宋_GB2312" w:hAnsi="仿宋_GB2312" w:eastAsia="仿宋_GB2312" w:cs="仿宋_GB2312"/>
                <w:color w:val="auto"/>
                <w:kern w:val="0"/>
                <w:sz w:val="24"/>
                <w:szCs w:val="24"/>
                <w:highlight w:val="none"/>
                <w:lang w:bidi="ar"/>
              </w:rPr>
              <w:t>年，ISBN：</w:t>
            </w:r>
            <w:r>
              <w:rPr>
                <w:rFonts w:hint="eastAsia" w:ascii="仿宋_GB2312" w:hAnsi="仿宋_GB2312" w:eastAsia="仿宋_GB2312" w:cs="仿宋_GB2312"/>
                <w:color w:val="auto"/>
                <w:kern w:val="0"/>
                <w:sz w:val="24"/>
                <w:szCs w:val="24"/>
                <w:highlight w:val="none"/>
                <w:lang w:val="en-US" w:eastAsia="zh-CN" w:bidi="ar"/>
              </w:rPr>
              <w:t>9787302534402</w:t>
            </w:r>
          </w:p>
        </w:tc>
      </w:tr>
      <w:tr w14:paraId="5B5E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633" w:type="dxa"/>
            <w:vAlign w:val="center"/>
          </w:tcPr>
          <w:p w14:paraId="2FF764C1">
            <w:pPr>
              <w:keepNext w:val="0"/>
              <w:keepLines w:val="0"/>
              <w:pageBreakBefore w:val="0"/>
              <w:widowControl/>
              <w:shd w:val="clear"/>
              <w:kinsoku/>
              <w:wordWrap/>
              <w:overflowPunct/>
              <w:topLinePunct w:val="0"/>
              <w:autoSpaceDE/>
              <w:autoSpaceDN/>
              <w:bidi w:val="0"/>
              <w:adjustRightInd/>
              <w:snapToGrid/>
              <w:spacing w:line="420" w:lineRule="exact"/>
              <w:jc w:val="center"/>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职业适应性综合考查</w:t>
            </w:r>
          </w:p>
        </w:tc>
        <w:tc>
          <w:tcPr>
            <w:tcW w:w="6427" w:type="dxa"/>
            <w:vAlign w:val="center"/>
          </w:tcPr>
          <w:p w14:paraId="38626B04">
            <w:pPr>
              <w:keepNext w:val="0"/>
              <w:keepLines w:val="0"/>
              <w:pageBreakBefore w:val="0"/>
              <w:widowControl/>
              <w:shd w:val="clear"/>
              <w:kinsoku/>
              <w:wordWrap/>
              <w:overflowPunct/>
              <w:topLinePunct w:val="0"/>
              <w:autoSpaceDE/>
              <w:autoSpaceDN/>
              <w:bidi w:val="0"/>
              <w:adjustRightInd/>
              <w:snapToGrid/>
              <w:spacing w:line="420" w:lineRule="exact"/>
              <w:jc w:val="both"/>
              <w:textAlignment w:val="center"/>
              <w:rPr>
                <w:rFonts w:hint="eastAsia" w:ascii="仿宋_GB2312" w:hAnsi="仿宋_GB2312" w:eastAsia="仿宋_GB2312" w:cs="仿宋_GB2312"/>
                <w:color w:val="auto"/>
                <w:kern w:val="0"/>
                <w:sz w:val="24"/>
                <w:szCs w:val="24"/>
                <w:highlight w:val="none"/>
                <w:lang w:bidi="ar"/>
              </w:rPr>
            </w:pPr>
            <w:r>
              <w:rPr>
                <w:rFonts w:hint="eastAsia" w:ascii="仿宋_GB2312" w:hAnsi="仿宋_GB2312" w:eastAsia="仿宋_GB2312" w:cs="仿宋_GB2312"/>
                <w:color w:val="auto"/>
                <w:kern w:val="0"/>
                <w:sz w:val="24"/>
                <w:szCs w:val="24"/>
                <w:highlight w:val="none"/>
                <w:lang w:bidi="ar"/>
              </w:rPr>
              <w:t>《职业素养教程》(第2版），作者：王新庆，出版社：清华大学出版社，</w:t>
            </w:r>
            <w:r>
              <w:rPr>
                <w:rFonts w:hint="eastAsia" w:ascii="仿宋_GB2312" w:hAnsi="仿宋_GB2312" w:eastAsia="仿宋_GB2312" w:cs="仿宋_GB2312"/>
                <w:color w:val="auto"/>
                <w:sz w:val="24"/>
                <w:szCs w:val="24"/>
                <w:highlight w:val="none"/>
                <w:lang w:val="en-US" w:eastAsia="zh-CN"/>
              </w:rPr>
              <w:t>出版时间：</w:t>
            </w:r>
            <w:r>
              <w:rPr>
                <w:rFonts w:hint="eastAsia" w:ascii="仿宋_GB2312" w:hAnsi="仿宋_GB2312" w:eastAsia="仿宋_GB2312" w:cs="仿宋_GB2312"/>
                <w:color w:val="auto"/>
                <w:kern w:val="0"/>
                <w:sz w:val="24"/>
                <w:szCs w:val="24"/>
                <w:highlight w:val="none"/>
                <w:lang w:bidi="ar"/>
              </w:rPr>
              <w:t>2023年，ISBN：9787302648895</w:t>
            </w:r>
          </w:p>
        </w:tc>
      </w:tr>
    </w:tbl>
    <w:p w14:paraId="30929E75">
      <w:pPr>
        <w:shd w:val="clear"/>
        <w:rPr>
          <w:rFonts w:hint="eastAsia" w:ascii="黑体" w:hAnsi="黑体" w:eastAsia="黑体" w:cs="黑体"/>
          <w:color w:val="auto"/>
          <w:sz w:val="32"/>
          <w:szCs w:val="32"/>
          <w:highlight w:val="none"/>
        </w:rPr>
      </w:pPr>
    </w:p>
    <w:p w14:paraId="212B9753">
      <w:pPr>
        <w:shd w:val="clear"/>
        <w:rPr>
          <w:rFonts w:hint="eastAsia" w:ascii="黑体" w:hAnsi="黑体" w:eastAsia="黑体" w:cs="黑体"/>
          <w:color w:val="auto"/>
          <w:sz w:val="32"/>
          <w:szCs w:val="32"/>
          <w:highlight w:val="none"/>
        </w:rPr>
      </w:pPr>
    </w:p>
    <w:p w14:paraId="5E5C2554">
      <w:pPr>
        <w:shd w:val="clear"/>
        <w:rPr>
          <w:rFonts w:hint="eastAsia" w:ascii="黑体" w:hAnsi="黑体" w:eastAsia="黑体" w:cs="黑体"/>
          <w:color w:val="auto"/>
          <w:sz w:val="32"/>
          <w:szCs w:val="32"/>
          <w:highlight w:val="none"/>
        </w:rPr>
      </w:pPr>
    </w:p>
    <w:p w14:paraId="10D0FE8F">
      <w:pPr>
        <w:shd w:val="clear"/>
        <w:rPr>
          <w:rFonts w:hint="eastAsia" w:ascii="黑体" w:hAnsi="黑体" w:eastAsia="黑体" w:cs="黑体"/>
          <w:color w:val="auto"/>
          <w:sz w:val="32"/>
          <w:szCs w:val="32"/>
          <w:highlight w:val="none"/>
        </w:rPr>
      </w:pPr>
    </w:p>
    <w:p w14:paraId="5862656A">
      <w:pPr>
        <w:shd w:val="clear"/>
        <w:rPr>
          <w:rFonts w:hint="eastAsia" w:ascii="黑体" w:hAnsi="黑体" w:eastAsia="黑体" w:cs="黑体"/>
          <w:color w:val="auto"/>
          <w:sz w:val="32"/>
          <w:szCs w:val="32"/>
          <w:highlight w:val="none"/>
        </w:rPr>
      </w:pPr>
    </w:p>
    <w:p w14:paraId="40A724BE">
      <w:pPr>
        <w:shd w:val="clear"/>
        <w:rPr>
          <w:rFonts w:hint="eastAsia" w:ascii="黑体" w:hAnsi="黑体" w:eastAsia="黑体" w:cs="黑体"/>
          <w:color w:val="auto"/>
          <w:sz w:val="32"/>
          <w:szCs w:val="32"/>
          <w:highlight w:val="none"/>
        </w:rPr>
      </w:pPr>
    </w:p>
    <w:p w14:paraId="3189707A">
      <w:pPr>
        <w:shd w:val="clear"/>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附件3</w:t>
      </w:r>
    </w:p>
    <w:p w14:paraId="695122C4">
      <w:pPr>
        <w:shd w:val="clear"/>
        <w:rPr>
          <w:rFonts w:hint="eastAsia" w:ascii="黑体" w:hAnsi="黑体" w:eastAsia="黑体" w:cs="黑体"/>
          <w:color w:val="auto"/>
          <w:sz w:val="32"/>
          <w:szCs w:val="32"/>
          <w:highlight w:val="none"/>
        </w:rPr>
      </w:pPr>
    </w:p>
    <w:p w14:paraId="4152F5D7">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武汉商学院202</w:t>
      </w:r>
      <w:r>
        <w:rPr>
          <w:rFonts w:hint="eastAsia" w:ascii="宋体" w:hAnsi="宋体" w:eastAsia="宋体" w:cs="宋体"/>
          <w:b/>
          <w:color w:val="auto"/>
          <w:sz w:val="44"/>
          <w:szCs w:val="44"/>
          <w:highlight w:val="none"/>
          <w:lang w:val="en-US" w:eastAsia="zh-CN"/>
        </w:rPr>
        <w:t>5</w:t>
      </w:r>
      <w:r>
        <w:rPr>
          <w:rFonts w:hint="eastAsia" w:ascii="宋体" w:hAnsi="宋体" w:eastAsia="宋体" w:cs="宋体"/>
          <w:b/>
          <w:color w:val="auto"/>
          <w:sz w:val="44"/>
          <w:szCs w:val="44"/>
          <w:highlight w:val="none"/>
        </w:rPr>
        <w:t>年普通专升本</w:t>
      </w:r>
    </w:p>
    <w:p w14:paraId="2A3EF076">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退役大学生士兵职业适应性</w:t>
      </w:r>
    </w:p>
    <w:p w14:paraId="02A151E1">
      <w:pPr>
        <w:keepNext w:val="0"/>
        <w:keepLines w:val="0"/>
        <w:pageBreakBefore w:val="0"/>
        <w:widowControl w:val="0"/>
        <w:shd w:val="clear"/>
        <w:kinsoku/>
        <w:wordWrap/>
        <w:overflowPunct/>
        <w:topLinePunct w:val="0"/>
        <w:autoSpaceDE/>
        <w:autoSpaceDN/>
        <w:bidi w:val="0"/>
        <w:adjustRightInd/>
        <w:snapToGrid/>
        <w:spacing w:line="540" w:lineRule="exact"/>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综合考查工作方案</w:t>
      </w:r>
    </w:p>
    <w:p w14:paraId="2B0562BA">
      <w:pPr>
        <w:shd w:val="clear"/>
        <w:spacing w:line="460" w:lineRule="exact"/>
        <w:jc w:val="center"/>
        <w:rPr>
          <w:rFonts w:ascii="宋体" w:hAnsi="宋体" w:eastAsia="宋体" w:cs="宋体"/>
          <w:b/>
          <w:bCs/>
          <w:color w:val="auto"/>
          <w:sz w:val="32"/>
          <w:szCs w:val="32"/>
          <w:highlight w:val="none"/>
        </w:rPr>
      </w:pPr>
    </w:p>
    <w:p w14:paraId="149B0175">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根据《省教育厅关于做好202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年湖北省普通高等学校专升本工作的通知》（鄂教高函〔202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号）精神，为做好我校202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年普通专升本退役大学生士兵职业适应性综合考查工作，特制定本工作方案。</w:t>
      </w:r>
    </w:p>
    <w:p w14:paraId="09A7C06F">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一、指导原则</w:t>
      </w:r>
    </w:p>
    <w:p w14:paraId="12A0DBE1">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根据教育部和省教育厅文件精神，严格执行招生、考试政策规定，遵循公开、公平、公正和择优的原则，严格考查标准和程序、规范操作、优化服务</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规范开展我校202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年普通专升本退役大学生士兵职业适应性综合考查工作，充分保障学生平等受教育的权利、科学选拔人才。　</w:t>
      </w:r>
    </w:p>
    <w:p w14:paraId="0D587C9D">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二、组织机构</w:t>
      </w:r>
    </w:p>
    <w:p w14:paraId="5E9E9CB5">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本次普通专升本退役大学生士兵招生工作在学校普通专升本工作领导小组领导下开展。按省教育厅要求，为做好退役大学生士兵职业适应性综合考查工作，单独成立职业适应性综合考查工作组，由教务处</w:t>
      </w:r>
      <w:r>
        <w:rPr>
          <w:rFonts w:hint="eastAsia" w:ascii="仿宋_GB2312" w:hAnsi="仿宋_GB2312" w:eastAsia="仿宋_GB2312" w:cs="仿宋_GB2312"/>
          <w:color w:val="auto"/>
          <w:sz w:val="32"/>
          <w:szCs w:val="32"/>
          <w:highlight w:val="none"/>
          <w:lang w:val="en-US" w:eastAsia="zh-CN"/>
        </w:rPr>
        <w:t>主要负责人</w:t>
      </w:r>
      <w:r>
        <w:rPr>
          <w:rFonts w:hint="eastAsia" w:ascii="仿宋_GB2312" w:hAnsi="仿宋_GB2312" w:eastAsia="仿宋_GB2312" w:cs="仿宋_GB2312"/>
          <w:color w:val="auto"/>
          <w:sz w:val="32"/>
          <w:szCs w:val="32"/>
          <w:highlight w:val="none"/>
        </w:rPr>
        <w:t>任组长，教务处副处长和马克思主义学院、通识教育学院主要负责人为成员，办公室设在教务处。主要职责是</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制定202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年普通专升本退役大学生士兵职业适应性综合考查工作方案，按照方案规定的工作程序开展考查工作。</w:t>
      </w:r>
    </w:p>
    <w:p w14:paraId="51B10FED">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三、招生专业</w:t>
      </w:r>
    </w:p>
    <w:p w14:paraId="73C6D5C8">
      <w:pPr>
        <w:keepNext w:val="0"/>
        <w:keepLines w:val="0"/>
        <w:pageBreakBefore w:val="0"/>
        <w:widowControl w:val="0"/>
        <w:shd w:val="clear"/>
        <w:kinsoku/>
        <w:wordWrap/>
        <w:overflowPunct/>
        <w:topLinePunct w:val="0"/>
        <w:autoSpaceDE/>
        <w:autoSpaceDN/>
        <w:bidi w:val="0"/>
        <w:adjustRightInd/>
        <w:snapToGrid/>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招生专业</w:t>
      </w:r>
      <w:r>
        <w:rPr>
          <w:rFonts w:hint="eastAsia" w:ascii="仿宋_GB2312" w:hAnsi="仿宋_GB2312" w:eastAsia="仿宋_GB2312" w:cs="仿宋_GB2312"/>
          <w:color w:val="auto"/>
          <w:sz w:val="32"/>
          <w:szCs w:val="32"/>
          <w:highlight w:val="none"/>
          <w:lang w:val="en-US" w:eastAsia="zh-CN"/>
        </w:rPr>
        <w:t>9</w:t>
      </w:r>
      <w:r>
        <w:rPr>
          <w:rFonts w:hint="eastAsia" w:ascii="仿宋_GB2312" w:hAnsi="仿宋_GB2312" w:eastAsia="仿宋_GB2312" w:cs="仿宋_GB2312"/>
          <w:color w:val="auto"/>
          <w:sz w:val="32"/>
          <w:szCs w:val="32"/>
          <w:highlight w:val="none"/>
        </w:rPr>
        <w:t>个</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详见下表。</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4231"/>
        <w:gridCol w:w="2378"/>
        <w:gridCol w:w="1144"/>
      </w:tblGrid>
      <w:tr w14:paraId="6F115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721" w:type="pct"/>
            <w:vAlign w:val="center"/>
          </w:tcPr>
          <w:p w14:paraId="64B6DFB5">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序号</w:t>
            </w:r>
          </w:p>
        </w:tc>
        <w:tc>
          <w:tcPr>
            <w:tcW w:w="2334" w:type="pct"/>
            <w:vAlign w:val="center"/>
          </w:tcPr>
          <w:p w14:paraId="045D5A39">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招生专业</w:t>
            </w:r>
          </w:p>
        </w:tc>
        <w:tc>
          <w:tcPr>
            <w:tcW w:w="1312" w:type="pct"/>
            <w:vAlign w:val="center"/>
          </w:tcPr>
          <w:p w14:paraId="0351D1AE">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专业</w:t>
            </w:r>
          </w:p>
          <w:p w14:paraId="1B270C7F">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代码</w:t>
            </w:r>
          </w:p>
        </w:tc>
        <w:tc>
          <w:tcPr>
            <w:tcW w:w="631" w:type="pct"/>
            <w:vAlign w:val="center"/>
          </w:tcPr>
          <w:p w14:paraId="4B21FF57">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b/>
                <w:color w:val="auto"/>
                <w:sz w:val="24"/>
                <w:szCs w:val="24"/>
                <w:highlight w:val="none"/>
              </w:rPr>
            </w:pPr>
            <w:r>
              <w:rPr>
                <w:rFonts w:hint="eastAsia" w:ascii="仿宋_GB2312" w:hAnsi="仿宋_GB2312" w:eastAsia="仿宋_GB2312" w:cs="仿宋_GB2312"/>
                <w:b/>
                <w:color w:val="auto"/>
                <w:sz w:val="24"/>
                <w:szCs w:val="24"/>
                <w:highlight w:val="none"/>
              </w:rPr>
              <w:t>学制</w:t>
            </w:r>
          </w:p>
        </w:tc>
      </w:tr>
      <w:tr w14:paraId="61202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3EADCFD2">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w:t>
            </w:r>
          </w:p>
        </w:tc>
        <w:tc>
          <w:tcPr>
            <w:tcW w:w="2334" w:type="pct"/>
            <w:vAlign w:val="center"/>
          </w:tcPr>
          <w:p w14:paraId="276227EF">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休闲体育</w:t>
            </w:r>
          </w:p>
        </w:tc>
        <w:tc>
          <w:tcPr>
            <w:tcW w:w="1312" w:type="pct"/>
            <w:vAlign w:val="center"/>
          </w:tcPr>
          <w:p w14:paraId="50A2C37F">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kern w:val="0"/>
                <w:sz w:val="24"/>
                <w:szCs w:val="24"/>
                <w:highlight w:val="none"/>
                <w:lang w:bidi="ar"/>
              </w:rPr>
              <w:t>040207T</w:t>
            </w:r>
          </w:p>
        </w:tc>
        <w:tc>
          <w:tcPr>
            <w:tcW w:w="631" w:type="pct"/>
            <w:vAlign w:val="center"/>
          </w:tcPr>
          <w:p w14:paraId="5F045168">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r>
      <w:tr w14:paraId="658E0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036EF4FB">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2</w:t>
            </w:r>
          </w:p>
        </w:tc>
        <w:tc>
          <w:tcPr>
            <w:tcW w:w="2334" w:type="pct"/>
            <w:vAlign w:val="center"/>
          </w:tcPr>
          <w:p w14:paraId="4CDBB2BA">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建筑环境与能源应用工程</w:t>
            </w:r>
          </w:p>
        </w:tc>
        <w:tc>
          <w:tcPr>
            <w:tcW w:w="1312" w:type="pct"/>
            <w:vAlign w:val="center"/>
          </w:tcPr>
          <w:p w14:paraId="418A091D">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081002</w:t>
            </w:r>
          </w:p>
        </w:tc>
        <w:tc>
          <w:tcPr>
            <w:tcW w:w="631" w:type="pct"/>
            <w:vAlign w:val="center"/>
          </w:tcPr>
          <w:p w14:paraId="61A7F3CA">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293C6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48694E87">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3</w:t>
            </w:r>
          </w:p>
        </w:tc>
        <w:tc>
          <w:tcPr>
            <w:tcW w:w="2334" w:type="pct"/>
            <w:vAlign w:val="center"/>
          </w:tcPr>
          <w:p w14:paraId="3F1AD55A">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食品质量与安全</w:t>
            </w:r>
          </w:p>
        </w:tc>
        <w:tc>
          <w:tcPr>
            <w:tcW w:w="1312" w:type="pct"/>
            <w:vAlign w:val="center"/>
          </w:tcPr>
          <w:p w14:paraId="33598469">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082702</w:t>
            </w:r>
          </w:p>
        </w:tc>
        <w:tc>
          <w:tcPr>
            <w:tcW w:w="631" w:type="pct"/>
            <w:vAlign w:val="center"/>
          </w:tcPr>
          <w:p w14:paraId="038A7F32">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1680C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01FE734F">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4</w:t>
            </w:r>
          </w:p>
        </w:tc>
        <w:tc>
          <w:tcPr>
            <w:tcW w:w="2334" w:type="pct"/>
            <w:vAlign w:val="center"/>
          </w:tcPr>
          <w:p w14:paraId="1211A085">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烹饪与营养教育</w:t>
            </w:r>
          </w:p>
        </w:tc>
        <w:tc>
          <w:tcPr>
            <w:tcW w:w="1312" w:type="pct"/>
            <w:vAlign w:val="center"/>
          </w:tcPr>
          <w:p w14:paraId="4E14821F">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082708T</w:t>
            </w:r>
          </w:p>
        </w:tc>
        <w:tc>
          <w:tcPr>
            <w:tcW w:w="631" w:type="pct"/>
            <w:vAlign w:val="center"/>
          </w:tcPr>
          <w:p w14:paraId="7258DB5D">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19C54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2E6BEE66">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p>
        </w:tc>
        <w:tc>
          <w:tcPr>
            <w:tcW w:w="2334" w:type="pct"/>
            <w:vAlign w:val="center"/>
          </w:tcPr>
          <w:p w14:paraId="734586AA">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零售业管理</w:t>
            </w:r>
          </w:p>
        </w:tc>
        <w:tc>
          <w:tcPr>
            <w:tcW w:w="1312" w:type="pct"/>
            <w:vAlign w:val="center"/>
          </w:tcPr>
          <w:p w14:paraId="3FE75A6C">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120215T</w:t>
            </w:r>
          </w:p>
        </w:tc>
        <w:tc>
          <w:tcPr>
            <w:tcW w:w="631" w:type="pct"/>
            <w:vAlign w:val="center"/>
          </w:tcPr>
          <w:p w14:paraId="7A5CE81C">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5FE3A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0A2A7883">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6</w:t>
            </w:r>
          </w:p>
        </w:tc>
        <w:tc>
          <w:tcPr>
            <w:tcW w:w="2334" w:type="pct"/>
            <w:vAlign w:val="center"/>
          </w:tcPr>
          <w:p w14:paraId="4387FF28">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酒店管理</w:t>
            </w:r>
          </w:p>
        </w:tc>
        <w:tc>
          <w:tcPr>
            <w:tcW w:w="1312" w:type="pct"/>
            <w:vAlign w:val="center"/>
          </w:tcPr>
          <w:p w14:paraId="3F8D0144">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120902</w:t>
            </w:r>
          </w:p>
        </w:tc>
        <w:tc>
          <w:tcPr>
            <w:tcW w:w="631" w:type="pct"/>
            <w:vAlign w:val="center"/>
          </w:tcPr>
          <w:p w14:paraId="6892739B">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4787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35FEF37C">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7</w:t>
            </w:r>
          </w:p>
        </w:tc>
        <w:tc>
          <w:tcPr>
            <w:tcW w:w="2334" w:type="pct"/>
            <w:vAlign w:val="center"/>
          </w:tcPr>
          <w:p w14:paraId="77CEE43E">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会展经济与管理</w:t>
            </w:r>
          </w:p>
        </w:tc>
        <w:tc>
          <w:tcPr>
            <w:tcW w:w="1312" w:type="pct"/>
            <w:vAlign w:val="center"/>
          </w:tcPr>
          <w:p w14:paraId="6676096F">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120903</w:t>
            </w:r>
          </w:p>
        </w:tc>
        <w:tc>
          <w:tcPr>
            <w:tcW w:w="631" w:type="pct"/>
            <w:vAlign w:val="center"/>
          </w:tcPr>
          <w:p w14:paraId="340CE950">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0AD7A2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57760129">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8</w:t>
            </w:r>
          </w:p>
        </w:tc>
        <w:tc>
          <w:tcPr>
            <w:tcW w:w="2334" w:type="pct"/>
            <w:vAlign w:val="center"/>
          </w:tcPr>
          <w:p w14:paraId="417B50A2">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旅游管理与服务教育</w:t>
            </w:r>
          </w:p>
        </w:tc>
        <w:tc>
          <w:tcPr>
            <w:tcW w:w="1312" w:type="pct"/>
            <w:vAlign w:val="center"/>
          </w:tcPr>
          <w:p w14:paraId="60945AC4">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120904T</w:t>
            </w:r>
          </w:p>
        </w:tc>
        <w:tc>
          <w:tcPr>
            <w:tcW w:w="631" w:type="pct"/>
            <w:vAlign w:val="center"/>
          </w:tcPr>
          <w:p w14:paraId="6A53578C">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r w14:paraId="26469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1" w:type="pct"/>
            <w:vAlign w:val="center"/>
          </w:tcPr>
          <w:p w14:paraId="66E3B247">
            <w:pPr>
              <w:keepNext w:val="0"/>
              <w:keepLines w:val="0"/>
              <w:pageBreakBefore w:val="0"/>
              <w:shd w:val="clear"/>
              <w:kinsoku/>
              <w:wordWrap/>
              <w:overflowPunct/>
              <w:topLinePunct w:val="0"/>
              <w:autoSpaceDE/>
              <w:autoSpaceDN/>
              <w:bidi w:val="0"/>
              <w:adjustRightInd w:val="0"/>
              <w:snapToGrid w:val="0"/>
              <w:spacing w:line="540" w:lineRule="exact"/>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9</w:t>
            </w:r>
          </w:p>
        </w:tc>
        <w:tc>
          <w:tcPr>
            <w:tcW w:w="2334" w:type="pct"/>
            <w:vAlign w:val="center"/>
          </w:tcPr>
          <w:p w14:paraId="4AF63D5F">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数字媒体艺术</w:t>
            </w:r>
          </w:p>
        </w:tc>
        <w:tc>
          <w:tcPr>
            <w:tcW w:w="1312" w:type="pct"/>
            <w:vAlign w:val="center"/>
          </w:tcPr>
          <w:p w14:paraId="41F04E35">
            <w:pPr>
              <w:keepNext w:val="0"/>
              <w:keepLines w:val="0"/>
              <w:pageBreakBefore w:val="0"/>
              <w:widowControl/>
              <w:shd w:val="clear"/>
              <w:kinsoku/>
              <w:wordWrap/>
              <w:overflowPunct/>
              <w:topLinePunct w:val="0"/>
              <w:autoSpaceDE/>
              <w:autoSpaceDN/>
              <w:bidi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0"/>
                <w:sz w:val="24"/>
                <w:szCs w:val="24"/>
                <w:highlight w:val="none"/>
                <w:lang w:bidi="ar"/>
              </w:rPr>
              <w:t>130508</w:t>
            </w:r>
          </w:p>
        </w:tc>
        <w:tc>
          <w:tcPr>
            <w:tcW w:w="631" w:type="pct"/>
            <w:vAlign w:val="center"/>
          </w:tcPr>
          <w:p w14:paraId="284CD69D">
            <w:pPr>
              <w:keepNext w:val="0"/>
              <w:keepLines w:val="0"/>
              <w:pageBreakBefore w:val="0"/>
              <w:widowControl/>
              <w:shd w:val="clear"/>
              <w:kinsoku/>
              <w:wordWrap/>
              <w:overflowPunct/>
              <w:topLinePunct w:val="0"/>
              <w:autoSpaceDE/>
              <w:autoSpaceDN/>
              <w:bidi w:val="0"/>
              <w:adjustRightInd w:val="0"/>
              <w:snapToGrid w:val="0"/>
              <w:spacing w:line="540" w:lineRule="exact"/>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szCs w:val="24"/>
                <w:highlight w:val="none"/>
              </w:rPr>
              <w:t>2</w:t>
            </w:r>
          </w:p>
        </w:tc>
      </w:tr>
    </w:tbl>
    <w:p w14:paraId="27480107">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四、报考条件　　</w:t>
      </w:r>
    </w:p>
    <w:p w14:paraId="1F77DC24">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考生须符合《武汉商学院202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年普通专升本招生简章》中规定的报考条件。考生所学专科专业须符合我校招生专业要求，详见招生简章中附件《武汉商学院202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年普通专升本招生专业对高职（专科）专业的报考范围要求》规定。</w:t>
      </w:r>
      <w:r>
        <w:rPr>
          <w:rFonts w:hint="eastAsia" w:ascii="仿宋_GB2312" w:hAnsi="仿宋_GB2312" w:eastAsia="仿宋_GB2312" w:cs="仿宋_GB2312"/>
          <w:color w:val="auto"/>
          <w:sz w:val="32"/>
          <w:szCs w:val="32"/>
          <w:highlight w:val="none"/>
          <w:lang w:val="en-US" w:eastAsia="zh-CN"/>
        </w:rPr>
        <w:t>如有特殊情况，</w:t>
      </w:r>
      <w:r>
        <w:rPr>
          <w:rFonts w:hint="eastAsia" w:ascii="仿宋_GB2312" w:hAnsi="仿宋_GB2312" w:eastAsia="仿宋_GB2312" w:cs="仿宋_GB2312"/>
          <w:color w:val="auto"/>
          <w:sz w:val="32"/>
          <w:szCs w:val="32"/>
          <w:highlight w:val="none"/>
        </w:rPr>
        <w:t>由学校普通专升本工作领导小组办公室参照《普通高等学校高等职业教育（专科）专业目录新旧专业对照表》进行审核并提交学校普通专升本工作领导小组审议。审议通过的，可以报考。　</w:t>
      </w:r>
    </w:p>
    <w:p w14:paraId="5E4E5A2A">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五、报名办法</w:t>
      </w:r>
    </w:p>
    <w:p w14:paraId="2E15ABD6">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详见《省教育厅关于做好202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年湖北省普通高等学校专升本工作的通知》和《武汉商学院202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年普通专升本招生简章》。考生须严格按湖北省和我校普通专升本工作相关要求进行报名，并提供相关材料参加资格审核。</w:t>
      </w:r>
    </w:p>
    <w:p w14:paraId="55E7B3FC">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color w:val="auto"/>
          <w:sz w:val="32"/>
          <w:szCs w:val="32"/>
          <w:highlight w:val="none"/>
        </w:rPr>
        <w:t>未经审查或审查未通过的考生不得参加职业适应性综合考查。根据省教育厅文件精神，资格审查将贯穿报名、考试、录取、报到等招生工作全过程，在整个普通专升本各工作环节中，一旦发现考生有弄虚作假、违规违纪行为，一律取消考生报名、考试、录取资格。</w:t>
      </w:r>
    </w:p>
    <w:p w14:paraId="1E1607A9">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六、考查与录取办法</w:t>
      </w:r>
    </w:p>
    <w:p w14:paraId="62DB54F6">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Cs/>
          <w:color w:val="auto"/>
          <w:sz w:val="32"/>
          <w:szCs w:val="32"/>
          <w:highlight w:val="none"/>
        </w:rPr>
        <w:t>（一）考查方式　</w:t>
      </w:r>
      <w:r>
        <w:rPr>
          <w:rFonts w:hint="eastAsia" w:ascii="仿宋_GB2312" w:hAnsi="仿宋_GB2312" w:eastAsia="仿宋_GB2312" w:cs="仿宋_GB2312"/>
          <w:b/>
          <w:color w:val="auto"/>
          <w:sz w:val="32"/>
          <w:szCs w:val="32"/>
          <w:highlight w:val="none"/>
        </w:rPr>
        <w:t>　</w:t>
      </w:r>
    </w:p>
    <w:p w14:paraId="2D98FCAE">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笔试，考试时长为</w:t>
      </w:r>
      <w:r>
        <w:rPr>
          <w:rFonts w:hint="eastAsia" w:ascii="仿宋_GB2312" w:hAnsi="仿宋_GB2312" w:eastAsia="仿宋_GB2312" w:cs="仿宋_GB2312"/>
          <w:color w:val="auto"/>
          <w:sz w:val="32"/>
          <w:szCs w:val="32"/>
          <w:highlight w:val="none"/>
          <w:lang w:val="en-US" w:eastAsia="zh-CN"/>
        </w:rPr>
        <w:t>120</w:t>
      </w:r>
      <w:r>
        <w:rPr>
          <w:rFonts w:hint="eastAsia" w:ascii="仿宋_GB2312" w:hAnsi="仿宋_GB2312" w:eastAsia="仿宋_GB2312" w:cs="仿宋_GB2312"/>
          <w:color w:val="auto"/>
          <w:sz w:val="32"/>
          <w:szCs w:val="32"/>
          <w:highlight w:val="none"/>
        </w:rPr>
        <w:t>分钟。　</w:t>
      </w:r>
    </w:p>
    <w:p w14:paraId="73570F02">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（二）考查要点</w:t>
      </w:r>
    </w:p>
    <w:p w14:paraId="1D28244D">
      <w:pPr>
        <w:keepNext w:val="0"/>
        <w:keepLines w:val="0"/>
        <w:pageBreakBefore w:val="0"/>
        <w:shd w:val="clear"/>
        <w:kinsoku/>
        <w:wordWrap/>
        <w:overflowPunct/>
        <w:topLinePunct w:val="0"/>
        <w:autoSpaceDE/>
        <w:autoSpaceDN/>
        <w:bidi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主要考查时事政治、职业素养和专业认知。</w:t>
      </w:r>
    </w:p>
    <w:p w14:paraId="07149948">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（三）分值分配</w:t>
      </w:r>
    </w:p>
    <w:p w14:paraId="5C7FA430">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职业适应性综合考查笔试满分100分，其中：时事政治50分、职业素养30分、专业认知20分。</w:t>
      </w:r>
    </w:p>
    <w:p w14:paraId="543AE764">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七、成绩查询与复核　　</w:t>
      </w:r>
    </w:p>
    <w:p w14:paraId="77A5A839">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我校成绩查询时间定于</w:t>
      </w:r>
      <w:r>
        <w:rPr>
          <w:rFonts w:hint="eastAsia" w:ascii="仿宋_GB2312" w:hAnsi="仿宋_GB2312" w:eastAsia="仿宋_GB2312" w:cs="仿宋_GB2312"/>
          <w:bCs/>
          <w:color w:val="auto"/>
          <w:sz w:val="32"/>
          <w:szCs w:val="32"/>
          <w:highlight w:val="none"/>
          <w:lang w:val="en-US" w:eastAsia="zh-CN"/>
        </w:rPr>
        <w:t>4</w:t>
      </w:r>
      <w:r>
        <w:rPr>
          <w:rFonts w:hint="eastAsia" w:ascii="仿宋_GB2312" w:hAnsi="仿宋_GB2312" w:eastAsia="仿宋_GB2312" w:cs="仿宋_GB2312"/>
          <w:bCs/>
          <w:color w:val="auto"/>
          <w:sz w:val="32"/>
          <w:szCs w:val="32"/>
          <w:highlight w:val="none"/>
        </w:rPr>
        <w:t>月</w:t>
      </w:r>
      <w:r>
        <w:rPr>
          <w:rFonts w:hint="eastAsia" w:ascii="仿宋_GB2312" w:hAnsi="仿宋_GB2312" w:eastAsia="仿宋_GB2312" w:cs="仿宋_GB2312"/>
          <w:bCs/>
          <w:color w:val="auto"/>
          <w:sz w:val="32"/>
          <w:szCs w:val="32"/>
          <w:highlight w:val="none"/>
          <w:lang w:val="en-US" w:eastAsia="zh-CN"/>
        </w:rPr>
        <w:t>25</w:t>
      </w:r>
      <w:r>
        <w:rPr>
          <w:rFonts w:hint="eastAsia" w:ascii="仿宋_GB2312" w:hAnsi="仿宋_GB2312" w:eastAsia="仿宋_GB2312" w:cs="仿宋_GB2312"/>
          <w:bCs/>
          <w:color w:val="auto"/>
          <w:sz w:val="32"/>
          <w:szCs w:val="32"/>
          <w:highlight w:val="none"/>
        </w:rPr>
        <w:t>日。成绩公布后，考生可在我校教务处主页“系统登录”专栏的专升本考务系统中查询考试成绩。“普通专升本”专栏将发布成绩复核通知。考生如对自己的考试成绩有疑问，可按规定程序申请复核。</w:t>
      </w:r>
    </w:p>
    <w:p w14:paraId="3EBA7202">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八、录取原则　　</w:t>
      </w:r>
    </w:p>
    <w:p w14:paraId="05819FEF">
      <w:pPr>
        <w:pStyle w:val="5"/>
        <w:keepNext w:val="0"/>
        <w:keepLines w:val="0"/>
        <w:pageBreakBefore w:val="0"/>
        <w:shd w:val="clear"/>
        <w:kinsoku/>
        <w:wordWrap/>
        <w:overflowPunct/>
        <w:topLinePunct w:val="0"/>
        <w:autoSpaceDE/>
        <w:autoSpaceDN/>
        <w:bidi w:val="0"/>
        <w:adjustRightInd w:val="0"/>
        <w:snapToGrid w:val="0"/>
        <w:spacing w:before="0" w:beforeAutospacing="0" w:after="0" w:afterAutospacing="0" w:line="540" w:lineRule="exact"/>
        <w:ind w:firstLine="632" w:firstLineChars="200"/>
        <w:textAlignment w:val="auto"/>
        <w:rPr>
          <w:rFonts w:hint="eastAsia" w:ascii="仿宋_GB2312" w:hAnsi="仿宋_GB2312" w:eastAsia="仿宋_GB2312" w:cs="仿宋_GB2312"/>
          <w:color w:val="auto"/>
          <w:kern w:val="2"/>
          <w:sz w:val="32"/>
          <w:szCs w:val="32"/>
          <w:highlight w:val="none"/>
          <w:lang w:eastAsia="zh-CN"/>
        </w:rPr>
      </w:pPr>
      <w:r>
        <w:rPr>
          <w:rFonts w:hint="eastAsia" w:ascii="仿宋_GB2312" w:hAnsi="仿宋_GB2312" w:eastAsia="仿宋_GB2312" w:cs="仿宋_GB2312"/>
          <w:color w:val="auto"/>
          <w:kern w:val="2"/>
          <w:sz w:val="32"/>
          <w:szCs w:val="32"/>
          <w:highlight w:val="none"/>
        </w:rPr>
        <w:t>（一）免试录取。申请免于参加综合考查且资格审查符合条件的退役大学生士兵考生优先录取</w:t>
      </w:r>
      <w:r>
        <w:rPr>
          <w:rFonts w:hint="eastAsia" w:ascii="仿宋_GB2312" w:hAnsi="仿宋_GB2312" w:eastAsia="仿宋_GB2312" w:cs="仿宋_GB2312"/>
          <w:color w:val="auto"/>
          <w:kern w:val="2"/>
          <w:sz w:val="32"/>
          <w:szCs w:val="32"/>
          <w:highlight w:val="none"/>
          <w:lang w:eastAsia="zh-CN"/>
        </w:rPr>
        <w:t>。</w:t>
      </w:r>
    </w:p>
    <w:p w14:paraId="7EA070E0">
      <w:pPr>
        <w:pStyle w:val="5"/>
        <w:keepNext w:val="0"/>
        <w:keepLines w:val="0"/>
        <w:pageBreakBefore w:val="0"/>
        <w:shd w:val="clear"/>
        <w:kinsoku/>
        <w:wordWrap/>
        <w:overflowPunct/>
        <w:topLinePunct w:val="0"/>
        <w:autoSpaceDE/>
        <w:autoSpaceDN/>
        <w:bidi w:val="0"/>
        <w:adjustRightInd w:val="0"/>
        <w:snapToGrid w:val="0"/>
        <w:spacing w:before="0" w:beforeAutospacing="0" w:after="0" w:afterAutospacing="0"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2"/>
          <w:sz w:val="32"/>
          <w:szCs w:val="32"/>
          <w:highlight w:val="none"/>
        </w:rPr>
        <w:t>（二）第一轮录取。按职业适应性综合考查成绩从高到低排序录取，直至完成计划。最后一名成绩相同则全部录取。</w:t>
      </w:r>
    </w:p>
    <w:p w14:paraId="5874594C">
      <w:pPr>
        <w:pStyle w:val="5"/>
        <w:keepNext w:val="0"/>
        <w:keepLines w:val="0"/>
        <w:pageBreakBefore w:val="0"/>
        <w:shd w:val="clear"/>
        <w:kinsoku/>
        <w:wordWrap/>
        <w:overflowPunct/>
        <w:topLinePunct w:val="0"/>
        <w:autoSpaceDE/>
        <w:autoSpaceDN/>
        <w:bidi w:val="0"/>
        <w:adjustRightInd w:val="0"/>
        <w:snapToGrid w:val="0"/>
        <w:spacing w:before="0" w:beforeAutospacing="0" w:after="0" w:afterAutospacing="0"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补录。第一轮录取结束后，如果我校已完成招生计划，则不再进行补录。如果我校退役大学生士兵计划未完成，则待省教育厅在专升本报名平台公布我校补录计划后，第一轮未被录取的考生，可根据补录计划，对照我校招生简章要求进行补录报名。第一轮已被录取的考生不得再参加补录报名。学校将通过面试进行综合评价，择优录取。</w:t>
      </w:r>
    </w:p>
    <w:p w14:paraId="7578FFE9">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（四）</w:t>
      </w:r>
      <w:r>
        <w:rPr>
          <w:rFonts w:hint="eastAsia" w:ascii="仿宋_GB2312" w:eastAsia="仿宋_GB2312" w:hAnsiTheme="minorEastAsia"/>
          <w:color w:val="auto"/>
          <w:sz w:val="32"/>
          <w:szCs w:val="32"/>
          <w:highlight w:val="none"/>
        </w:rPr>
        <w:t>应届毕业生考生在7月31日前未取得专科毕业证书的，取消录取资格。</w:t>
      </w:r>
      <w:r>
        <w:rPr>
          <w:rFonts w:hint="eastAsia" w:ascii="仿宋_GB2312" w:hAnsi="仿宋_GB2312" w:eastAsia="仿宋_GB2312" w:cs="仿宋_GB2312"/>
          <w:color w:val="auto"/>
          <w:sz w:val="32"/>
          <w:szCs w:val="32"/>
          <w:highlight w:val="none"/>
        </w:rPr>
        <w:t>凡录取后未报到、自行放弃入学资格的考生，此后不再享受免试专升本招生政策。</w:t>
      </w:r>
    </w:p>
    <w:p w14:paraId="089CBE33">
      <w:pPr>
        <w:keepNext w:val="0"/>
        <w:keepLines w:val="0"/>
        <w:pageBreakBefore w:val="0"/>
        <w:shd w:val="clear"/>
        <w:kinsoku/>
        <w:wordWrap/>
        <w:overflowPunct/>
        <w:topLinePunct w:val="0"/>
        <w:autoSpaceDE/>
        <w:autoSpaceDN/>
        <w:bidi w:val="0"/>
        <w:adjustRightInd w:val="0"/>
        <w:snapToGrid w:val="0"/>
        <w:spacing w:line="540" w:lineRule="exact"/>
        <w:ind w:firstLine="632" w:firstLineChars="200"/>
        <w:textAlignment w:val="auto"/>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rPr>
        <w:t>九、违规处理　　</w:t>
      </w:r>
    </w:p>
    <w:p w14:paraId="6BEBE57C">
      <w:pPr>
        <w:keepNext w:val="0"/>
        <w:keepLines w:val="0"/>
        <w:pageBreakBefore w:val="0"/>
        <w:kinsoku/>
        <w:wordWrap/>
        <w:overflowPunct/>
        <w:topLinePunct w:val="0"/>
        <w:autoSpaceDE/>
        <w:autoSpaceDN/>
        <w:bidi w:val="0"/>
        <w:spacing w:line="540" w:lineRule="exact"/>
        <w:ind w:firstLine="632" w:firstLineChars="200"/>
        <w:textAlignment w:val="auto"/>
        <w:rPr>
          <w:rFonts w:hint="eastAsia" w:ascii="仿宋_GB2312" w:eastAsia="仿宋_GB2312"/>
          <w:color w:val="auto"/>
          <w:highlight w:val="none"/>
        </w:rPr>
      </w:pPr>
      <w:r>
        <w:rPr>
          <w:rFonts w:hint="eastAsia" w:ascii="仿宋_GB2312" w:hAnsi="仿宋_GB2312" w:eastAsia="仿宋_GB2312" w:cs="仿宋_GB2312"/>
          <w:color w:val="auto"/>
          <w:sz w:val="32"/>
          <w:szCs w:val="32"/>
          <w:highlight w:val="none"/>
        </w:rPr>
        <w:t>凡是在退役大学生士兵专升本招生工作中违规的考生及工作人员，按照《国家教育考试违规处理办法》（教育部令第33号）处理。　</w:t>
      </w:r>
    </w:p>
    <w:p w14:paraId="605609F3">
      <w:pPr>
        <w:ind w:firstLine="5910" w:firstLineChars="1870"/>
        <w:rPr>
          <w:rFonts w:hint="eastAsia" w:ascii="仿宋_GB2312" w:eastAsia="仿宋_GB2312"/>
          <w:color w:val="auto"/>
          <w:highlight w:val="none"/>
        </w:rPr>
      </w:pPr>
    </w:p>
    <w:p w14:paraId="545D899D">
      <w:pPr>
        <w:ind w:firstLine="5910" w:firstLineChars="1870"/>
        <w:rPr>
          <w:rFonts w:hint="eastAsia" w:ascii="仿宋_GB2312" w:eastAsia="仿宋_GB2312"/>
          <w:color w:val="auto"/>
          <w:highlight w:val="none"/>
        </w:rPr>
      </w:pPr>
    </w:p>
    <w:sectPr>
      <w:footerReference r:id="rId3" w:type="default"/>
      <w:footerReference r:id="rId4" w:type="even"/>
      <w:pgSz w:w="11906" w:h="16838"/>
      <w:pgMar w:top="2098" w:right="1474" w:bottom="1985" w:left="1588"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534B2">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7DDA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477DDA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BC3A3">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E945D">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7CE945D">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4MjZmMGQ0NDFjMGVlMTJhNzY5ODQzMzI1NGYwYzMifQ=="/>
    <w:docVar w:name="KSO_WPS_MARK_KEY" w:val="cf2485e7-9528-4da7-9638-8d0418a6cf31"/>
  </w:docVars>
  <w:rsids>
    <w:rsidRoot w:val="007A1483"/>
    <w:rsid w:val="00054749"/>
    <w:rsid w:val="00071A40"/>
    <w:rsid w:val="000942B7"/>
    <w:rsid w:val="003E1EF7"/>
    <w:rsid w:val="00402714"/>
    <w:rsid w:val="004B3774"/>
    <w:rsid w:val="007A1483"/>
    <w:rsid w:val="00941D86"/>
    <w:rsid w:val="009C15CF"/>
    <w:rsid w:val="00B16ED3"/>
    <w:rsid w:val="00D71F03"/>
    <w:rsid w:val="00EB74D9"/>
    <w:rsid w:val="010A6538"/>
    <w:rsid w:val="015974C0"/>
    <w:rsid w:val="01671BDD"/>
    <w:rsid w:val="01BD17FD"/>
    <w:rsid w:val="01C95043"/>
    <w:rsid w:val="01FE10BA"/>
    <w:rsid w:val="021E42F5"/>
    <w:rsid w:val="035A307B"/>
    <w:rsid w:val="041B280B"/>
    <w:rsid w:val="048C6AD2"/>
    <w:rsid w:val="04D8408C"/>
    <w:rsid w:val="04FC088E"/>
    <w:rsid w:val="064D1A81"/>
    <w:rsid w:val="066F61BD"/>
    <w:rsid w:val="070F2A6F"/>
    <w:rsid w:val="074059F5"/>
    <w:rsid w:val="078D55F9"/>
    <w:rsid w:val="081536FE"/>
    <w:rsid w:val="08E51639"/>
    <w:rsid w:val="09C3197A"/>
    <w:rsid w:val="09E53CA2"/>
    <w:rsid w:val="0A0418A6"/>
    <w:rsid w:val="0BD7795F"/>
    <w:rsid w:val="0C264442"/>
    <w:rsid w:val="0C7C40DD"/>
    <w:rsid w:val="0CA737D5"/>
    <w:rsid w:val="0D731909"/>
    <w:rsid w:val="0F8E47D8"/>
    <w:rsid w:val="0F9A317D"/>
    <w:rsid w:val="10005AD2"/>
    <w:rsid w:val="10262C63"/>
    <w:rsid w:val="113B44EC"/>
    <w:rsid w:val="11BF6ECB"/>
    <w:rsid w:val="127C7005"/>
    <w:rsid w:val="150D424B"/>
    <w:rsid w:val="15C01464"/>
    <w:rsid w:val="162F3B2A"/>
    <w:rsid w:val="16C46D32"/>
    <w:rsid w:val="16D927DD"/>
    <w:rsid w:val="174C1201"/>
    <w:rsid w:val="17F17FFA"/>
    <w:rsid w:val="18AC4D9F"/>
    <w:rsid w:val="194A4CD5"/>
    <w:rsid w:val="19B3715B"/>
    <w:rsid w:val="19D07403"/>
    <w:rsid w:val="1A212383"/>
    <w:rsid w:val="1A584361"/>
    <w:rsid w:val="1AA31273"/>
    <w:rsid w:val="1AB53561"/>
    <w:rsid w:val="1AD339E7"/>
    <w:rsid w:val="1BB72C3C"/>
    <w:rsid w:val="1BB750B7"/>
    <w:rsid w:val="1BC81072"/>
    <w:rsid w:val="1BD13389"/>
    <w:rsid w:val="1BE7774A"/>
    <w:rsid w:val="1C6158E0"/>
    <w:rsid w:val="1CE500BA"/>
    <w:rsid w:val="1CEE0B1F"/>
    <w:rsid w:val="1D1502E7"/>
    <w:rsid w:val="1D3F5364"/>
    <w:rsid w:val="1D9751A0"/>
    <w:rsid w:val="1F0D3C6E"/>
    <w:rsid w:val="1F443106"/>
    <w:rsid w:val="1FDE0E64"/>
    <w:rsid w:val="1FED10A7"/>
    <w:rsid w:val="20C80EB0"/>
    <w:rsid w:val="20EA1102"/>
    <w:rsid w:val="210210B9"/>
    <w:rsid w:val="214C62A1"/>
    <w:rsid w:val="216574DC"/>
    <w:rsid w:val="216655B5"/>
    <w:rsid w:val="21BF5EE8"/>
    <w:rsid w:val="21D70261"/>
    <w:rsid w:val="21DD6EFA"/>
    <w:rsid w:val="2210107D"/>
    <w:rsid w:val="221C3EC6"/>
    <w:rsid w:val="22800F5B"/>
    <w:rsid w:val="23481642"/>
    <w:rsid w:val="235D02F2"/>
    <w:rsid w:val="243454F7"/>
    <w:rsid w:val="24885842"/>
    <w:rsid w:val="249C59AA"/>
    <w:rsid w:val="25237319"/>
    <w:rsid w:val="26C568DA"/>
    <w:rsid w:val="2844026C"/>
    <w:rsid w:val="28C57065"/>
    <w:rsid w:val="28D63020"/>
    <w:rsid w:val="28F83C0A"/>
    <w:rsid w:val="29143B49"/>
    <w:rsid w:val="29DF5F05"/>
    <w:rsid w:val="2B007C34"/>
    <w:rsid w:val="2B3F2E66"/>
    <w:rsid w:val="2B54647E"/>
    <w:rsid w:val="2BD96984"/>
    <w:rsid w:val="2C9232DF"/>
    <w:rsid w:val="2E5F13C2"/>
    <w:rsid w:val="2F097580"/>
    <w:rsid w:val="2F3628C2"/>
    <w:rsid w:val="2FC11C09"/>
    <w:rsid w:val="2FD162F0"/>
    <w:rsid w:val="2FD17CFF"/>
    <w:rsid w:val="2FF7437B"/>
    <w:rsid w:val="30586A11"/>
    <w:rsid w:val="309317F7"/>
    <w:rsid w:val="30980BBB"/>
    <w:rsid w:val="31D2634F"/>
    <w:rsid w:val="325251FF"/>
    <w:rsid w:val="336D1AD6"/>
    <w:rsid w:val="33E327BE"/>
    <w:rsid w:val="346A0AC1"/>
    <w:rsid w:val="34B166F0"/>
    <w:rsid w:val="359313AF"/>
    <w:rsid w:val="364360BA"/>
    <w:rsid w:val="375F608F"/>
    <w:rsid w:val="377D0B0B"/>
    <w:rsid w:val="378700C7"/>
    <w:rsid w:val="388C54AA"/>
    <w:rsid w:val="3A655FB2"/>
    <w:rsid w:val="3B445559"/>
    <w:rsid w:val="3B81506E"/>
    <w:rsid w:val="3C1A765C"/>
    <w:rsid w:val="3D1E68EC"/>
    <w:rsid w:val="3DDA0A65"/>
    <w:rsid w:val="3DED69EA"/>
    <w:rsid w:val="3E66054B"/>
    <w:rsid w:val="3EF73899"/>
    <w:rsid w:val="40662A84"/>
    <w:rsid w:val="40D45C40"/>
    <w:rsid w:val="41B63597"/>
    <w:rsid w:val="41F34847"/>
    <w:rsid w:val="421A69EF"/>
    <w:rsid w:val="4251142E"/>
    <w:rsid w:val="42A17DA3"/>
    <w:rsid w:val="431A7B56"/>
    <w:rsid w:val="44184095"/>
    <w:rsid w:val="4577021A"/>
    <w:rsid w:val="45AC4E6E"/>
    <w:rsid w:val="460F188E"/>
    <w:rsid w:val="46342326"/>
    <w:rsid w:val="46537607"/>
    <w:rsid w:val="46A120C2"/>
    <w:rsid w:val="46FA5CD4"/>
    <w:rsid w:val="47462CC7"/>
    <w:rsid w:val="47B95B8F"/>
    <w:rsid w:val="488A6D8F"/>
    <w:rsid w:val="48E951B7"/>
    <w:rsid w:val="49D97E23"/>
    <w:rsid w:val="49E60792"/>
    <w:rsid w:val="4A025835"/>
    <w:rsid w:val="4A3C6604"/>
    <w:rsid w:val="4BBC1355"/>
    <w:rsid w:val="4E0631B0"/>
    <w:rsid w:val="4E5008D0"/>
    <w:rsid w:val="4E5B79A0"/>
    <w:rsid w:val="4E9C3B15"/>
    <w:rsid w:val="4EFE032C"/>
    <w:rsid w:val="4FF736F9"/>
    <w:rsid w:val="50242014"/>
    <w:rsid w:val="502B5150"/>
    <w:rsid w:val="50BE1458"/>
    <w:rsid w:val="50CA2BBB"/>
    <w:rsid w:val="50D97285"/>
    <w:rsid w:val="51A53870"/>
    <w:rsid w:val="5285323E"/>
    <w:rsid w:val="52CE450C"/>
    <w:rsid w:val="53410D83"/>
    <w:rsid w:val="54372316"/>
    <w:rsid w:val="543E6935"/>
    <w:rsid w:val="54A3500F"/>
    <w:rsid w:val="54CE065B"/>
    <w:rsid w:val="54FE72D7"/>
    <w:rsid w:val="5523289A"/>
    <w:rsid w:val="55786243"/>
    <w:rsid w:val="557D01FC"/>
    <w:rsid w:val="55A7246B"/>
    <w:rsid w:val="55D23DAF"/>
    <w:rsid w:val="560451AB"/>
    <w:rsid w:val="561D0ADD"/>
    <w:rsid w:val="564E1B99"/>
    <w:rsid w:val="56687250"/>
    <w:rsid w:val="568B6949"/>
    <w:rsid w:val="57286B57"/>
    <w:rsid w:val="57430FD1"/>
    <w:rsid w:val="574D2D46"/>
    <w:rsid w:val="57BE64D3"/>
    <w:rsid w:val="58A837E2"/>
    <w:rsid w:val="59036C6A"/>
    <w:rsid w:val="59636EAD"/>
    <w:rsid w:val="59714867"/>
    <w:rsid w:val="5B4B2214"/>
    <w:rsid w:val="5B80134A"/>
    <w:rsid w:val="5BB66216"/>
    <w:rsid w:val="5BB71F8E"/>
    <w:rsid w:val="5C841E70"/>
    <w:rsid w:val="5D8B722E"/>
    <w:rsid w:val="5E451AD3"/>
    <w:rsid w:val="5ECA3D86"/>
    <w:rsid w:val="5F511E34"/>
    <w:rsid w:val="604A33D1"/>
    <w:rsid w:val="60C0003C"/>
    <w:rsid w:val="610935D6"/>
    <w:rsid w:val="61413A18"/>
    <w:rsid w:val="61882403"/>
    <w:rsid w:val="619863BE"/>
    <w:rsid w:val="62981606"/>
    <w:rsid w:val="6324615B"/>
    <w:rsid w:val="632A1297"/>
    <w:rsid w:val="64656A2B"/>
    <w:rsid w:val="64A61F35"/>
    <w:rsid w:val="64DB4F3F"/>
    <w:rsid w:val="653E3E3E"/>
    <w:rsid w:val="656942F9"/>
    <w:rsid w:val="65DD7CF5"/>
    <w:rsid w:val="6619309F"/>
    <w:rsid w:val="665705F5"/>
    <w:rsid w:val="66783F59"/>
    <w:rsid w:val="673D77EB"/>
    <w:rsid w:val="67430B73"/>
    <w:rsid w:val="682B1D3A"/>
    <w:rsid w:val="697F058F"/>
    <w:rsid w:val="69B95123"/>
    <w:rsid w:val="69E42AB5"/>
    <w:rsid w:val="6A4E3ABD"/>
    <w:rsid w:val="6A7B4150"/>
    <w:rsid w:val="6AFE1987"/>
    <w:rsid w:val="6B3B6738"/>
    <w:rsid w:val="6C953C26"/>
    <w:rsid w:val="6E9D5013"/>
    <w:rsid w:val="6EFC4430"/>
    <w:rsid w:val="6FE86762"/>
    <w:rsid w:val="70FC1863"/>
    <w:rsid w:val="71211F2C"/>
    <w:rsid w:val="71307B68"/>
    <w:rsid w:val="71600CA6"/>
    <w:rsid w:val="72364E1E"/>
    <w:rsid w:val="724C2FD8"/>
    <w:rsid w:val="724E6D50"/>
    <w:rsid w:val="728F14AA"/>
    <w:rsid w:val="72F0605A"/>
    <w:rsid w:val="73245D03"/>
    <w:rsid w:val="73412411"/>
    <w:rsid w:val="749869A9"/>
    <w:rsid w:val="758D193E"/>
    <w:rsid w:val="763149BF"/>
    <w:rsid w:val="767D7C04"/>
    <w:rsid w:val="76C17FE3"/>
    <w:rsid w:val="778154D2"/>
    <w:rsid w:val="77985E5E"/>
    <w:rsid w:val="77CB2BF1"/>
    <w:rsid w:val="785B3F75"/>
    <w:rsid w:val="790A599B"/>
    <w:rsid w:val="790F6B0E"/>
    <w:rsid w:val="793C27A7"/>
    <w:rsid w:val="793D7B1F"/>
    <w:rsid w:val="7BC46AA1"/>
    <w:rsid w:val="7CB65C1E"/>
    <w:rsid w:val="7D041D79"/>
    <w:rsid w:val="7D5316BF"/>
    <w:rsid w:val="7DEE13E8"/>
    <w:rsid w:val="7E9C52E7"/>
    <w:rsid w:val="7EB4618D"/>
    <w:rsid w:val="7EB72636"/>
    <w:rsid w:val="7F231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4"/>
    <w:qFormat/>
    <w:uiPriority w:val="99"/>
    <w:rPr>
      <w:sz w:val="18"/>
      <w:szCs w:val="18"/>
    </w:rPr>
  </w:style>
  <w:style w:type="character" w:customStyle="1" w:styleId="10">
    <w:name w:val="页脚 Char"/>
    <w:basedOn w:val="8"/>
    <w:link w:val="3"/>
    <w:qFormat/>
    <w:uiPriority w:val="99"/>
    <w:rPr>
      <w:sz w:val="18"/>
      <w:szCs w:val="18"/>
    </w:rPr>
  </w:style>
  <w:style w:type="paragraph" w:customStyle="1" w:styleId="11">
    <w:name w:val="_Style 29"/>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7701</Words>
  <Characters>8278</Characters>
  <Lines>2</Lines>
  <Paragraphs>1</Paragraphs>
  <TotalTime>44</TotalTime>
  <ScaleCrop>false</ScaleCrop>
  <LinksUpToDate>false</LinksUpToDate>
  <CharactersWithSpaces>8281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2021-07-05T03:18:00Z</dcterms:created>
  <dc:creator>DELL</dc:creator>
  <cp:lastModifiedBy>张思渊</cp:lastModifiedBy>
  <cp:lastPrinted>2025-02-26T00:52:00Z</cp:lastPrinted>
  <dcterms:modified xsi:type="dcterms:W3CDTF">2025-03-01T01:54:32Z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E1674E0FAD7142AF97BC1B3542770C56_13</vt:lpwstr>
  </property>
  <property fmtid="{D5CDD505-2E9C-101B-9397-08002B2CF9AE}" pid="4" name="KSOTemplateDocerSaveRecord">
    <vt:lpwstr>eyJoZGlkIjoiNTFhNDMzZGQyZWNjYjkzMjMwOWE2MjgxYzkwMDYxNWYiLCJ1c2VySWQiOiIyOTkxODE3MDcifQ==</vt:lpwstr>
  </property>
</Properties>
</file>